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90</w:t>
      </w:r>
      <w:r>
        <w:rPr>
          <w:rFonts w:ascii="Times New Roman" w:hAnsi="Times New Roman"/>
          <w:sz w:val="24"/>
        </w:rPr>
        <w:tab/>
        <w:t>R4-1</w:t>
      </w:r>
      <w:r w:rsidR="00DB27F7">
        <w:rPr>
          <w:rFonts w:ascii="Times New Roman" w:hAnsi="Times New Roman"/>
          <w:sz w:val="24"/>
        </w:rPr>
        <w:t>900963</w:t>
      </w:r>
      <w:bookmarkStart w:id="0" w:name="_GoBack"/>
      <w:bookmarkEnd w:id="0"/>
    </w:p>
    <w:p w:rsidR="005813AA" w:rsidRPr="00552689" w:rsidRDefault="0032455B" w:rsidP="005813AA">
      <w:pPr>
        <w:pStyle w:val="Header"/>
        <w:rPr>
          <w:rFonts w:ascii="Times New Roman" w:hAnsi="Times New Roman"/>
          <w:sz w:val="24"/>
          <w:lang w:val="en-US"/>
        </w:rPr>
      </w:pPr>
      <w:r>
        <w:rPr>
          <w:rFonts w:ascii="Times New Roman" w:hAnsi="Times New Roman"/>
          <w:sz w:val="24"/>
          <w:lang w:val="en-US"/>
        </w:rPr>
        <w:t>Athens</w:t>
      </w:r>
      <w:r w:rsidR="005813AA">
        <w:rPr>
          <w:rFonts w:ascii="Times New Roman" w:hAnsi="Times New Roman"/>
          <w:sz w:val="24"/>
          <w:lang w:val="en-US"/>
        </w:rPr>
        <w:t xml:space="preserve">, </w:t>
      </w:r>
      <w:r>
        <w:rPr>
          <w:rFonts w:ascii="Times New Roman" w:hAnsi="Times New Roman"/>
          <w:sz w:val="24"/>
          <w:lang w:val="en-US"/>
        </w:rPr>
        <w:t>Greece</w:t>
      </w:r>
      <w:r w:rsidR="005813AA">
        <w:rPr>
          <w:rFonts w:ascii="Times New Roman" w:hAnsi="Times New Roman"/>
          <w:sz w:val="24"/>
          <w:lang w:val="en-US"/>
        </w:rPr>
        <w:t xml:space="preserve">, </w:t>
      </w:r>
      <w:r>
        <w:rPr>
          <w:rFonts w:ascii="Times New Roman" w:hAnsi="Times New Roman"/>
          <w:sz w:val="24"/>
          <w:lang w:val="en-US"/>
        </w:rPr>
        <w:t>25 February</w:t>
      </w:r>
      <w:r w:rsidR="002B1082">
        <w:rPr>
          <w:rFonts w:ascii="Times New Roman" w:hAnsi="Times New Roman"/>
          <w:sz w:val="24"/>
          <w:lang w:val="en-US"/>
        </w:rPr>
        <w:t xml:space="preserve">-1 </w:t>
      </w:r>
      <w:r>
        <w:rPr>
          <w:rFonts w:ascii="Times New Roman" w:hAnsi="Times New Roman"/>
          <w:sz w:val="24"/>
          <w:lang w:val="en-US"/>
        </w:rPr>
        <w:t>March,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5D0332">
        <w:rPr>
          <w:rFonts w:ascii="Arial" w:hAnsi="Arial" w:cs="Arial"/>
          <w:sz w:val="24"/>
          <w:lang w:val="en-US" w:eastAsia="zh-CN"/>
        </w:rPr>
        <w:t>Ideal SS-RSRP in NR OTA tests</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CB7337" w:rsidRPr="00CB7337">
        <w:rPr>
          <w:rFonts w:ascii="Arial" w:hAnsi="Arial" w:cs="Arial"/>
          <w:sz w:val="24"/>
          <w:lang w:val="en-US" w:eastAsia="zh-CN"/>
        </w:rPr>
        <w:t>6.13.3.2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5D0332" w:rsidRDefault="005D0332" w:rsidP="0032455B">
      <w:r>
        <w:t xml:space="preserve">In RAN4#89, more discussion took place on ideal RSRP in OTA tests with the following agreements during the first performance </w:t>
      </w:r>
      <w:proofErr w:type="spellStart"/>
      <w:r>
        <w:t>adhoc</w:t>
      </w:r>
      <w:proofErr w:type="spellEnd"/>
      <w:r w:rsidR="00620989">
        <w:fldChar w:fldCharType="begin"/>
      </w:r>
      <w:r w:rsidR="00620989">
        <w:instrText xml:space="preserve"> REF _Ref531263705 \r \h </w:instrText>
      </w:r>
      <w:r w:rsidR="00620989">
        <w:fldChar w:fldCharType="separate"/>
      </w:r>
      <w:r w:rsidR="00620989">
        <w:t>[1]</w:t>
      </w:r>
      <w:r w:rsidR="00620989">
        <w:fldChar w:fldCharType="end"/>
      </w:r>
      <w:r>
        <w:t>:</w:t>
      </w:r>
    </w:p>
    <w:tbl>
      <w:tblPr>
        <w:tblStyle w:val="TableGrid"/>
        <w:tblW w:w="0" w:type="auto"/>
        <w:tblLook w:val="04A0" w:firstRow="1" w:lastRow="0" w:firstColumn="1" w:lastColumn="0" w:noHBand="0" w:noVBand="1"/>
      </w:tblPr>
      <w:tblGrid>
        <w:gridCol w:w="10537"/>
      </w:tblGrid>
      <w:tr w:rsidR="005D0332" w:rsidTr="005D0332">
        <w:tc>
          <w:tcPr>
            <w:tcW w:w="10537" w:type="dxa"/>
          </w:tcPr>
          <w:p w:rsidR="005D0332" w:rsidRPr="009A258B" w:rsidRDefault="005D0332" w:rsidP="005D0332">
            <w:pPr>
              <w:rPr>
                <w:highlight w:val="green"/>
              </w:rPr>
            </w:pPr>
            <w:r w:rsidRPr="009A258B">
              <w:rPr>
                <w:highlight w:val="green"/>
              </w:rPr>
              <w:t xml:space="preserve">Agreements: </w:t>
            </w:r>
          </w:p>
          <w:p w:rsidR="005D0332" w:rsidRDefault="005D0332" w:rsidP="005D0332">
            <w:pPr>
              <w:rPr>
                <w:highlight w:val="green"/>
              </w:rPr>
            </w:pPr>
            <w:r>
              <w:rPr>
                <w:highlight w:val="green"/>
              </w:rPr>
              <w:t>Following is agreed for ideal SS-RSRP for testing absolute SS-RSRP:</w:t>
            </w:r>
          </w:p>
          <w:p w:rsidR="005D0332" w:rsidRPr="009A258B" w:rsidRDefault="005D0332" w:rsidP="005D0332">
            <w:pPr>
              <w:numPr>
                <w:ilvl w:val="0"/>
                <w:numId w:val="26"/>
              </w:numPr>
              <w:rPr>
                <w:highlight w:val="green"/>
              </w:rPr>
            </w:pPr>
            <w:r w:rsidRPr="009A258B">
              <w:rPr>
                <w:highlight w:val="green"/>
              </w:rPr>
              <w:t>Consider both method 2 and method 3 for further analysis for deriving ideal SS-RSRP.</w:t>
            </w:r>
          </w:p>
          <w:p w:rsidR="005D0332" w:rsidRPr="009A258B" w:rsidRDefault="005D0332" w:rsidP="005D0332">
            <w:pPr>
              <w:numPr>
                <w:ilvl w:val="0"/>
                <w:numId w:val="26"/>
              </w:numPr>
              <w:rPr>
                <w:highlight w:val="green"/>
              </w:rPr>
            </w:pPr>
            <w:r w:rsidRPr="009A258B">
              <w:rPr>
                <w:highlight w:val="green"/>
              </w:rPr>
              <w:t>Companies to investigate the possibility of combining method 2 and method 3</w:t>
            </w:r>
          </w:p>
          <w:p w:rsidR="005D0332" w:rsidRDefault="005D0332" w:rsidP="005D0332">
            <w:pPr>
              <w:numPr>
                <w:ilvl w:val="0"/>
                <w:numId w:val="26"/>
              </w:numPr>
            </w:pPr>
            <w:r w:rsidRPr="009A258B">
              <w:rPr>
                <w:highlight w:val="green"/>
              </w:rPr>
              <w:t xml:space="preserve">Companies to investigate how to determine </w:t>
            </w:r>
            <w:r>
              <w:rPr>
                <w:highlight w:val="green"/>
              </w:rPr>
              <w:t xml:space="preserve">absolute values of minimum antenna gain and maximum </w:t>
            </w:r>
            <w:r w:rsidRPr="009A258B">
              <w:rPr>
                <w:highlight w:val="green"/>
              </w:rPr>
              <w:t xml:space="preserve">antenna gain </w:t>
            </w:r>
            <w:r>
              <w:rPr>
                <w:highlight w:val="green"/>
              </w:rPr>
              <w:t>for</w:t>
            </w:r>
            <w:r w:rsidRPr="009A258B">
              <w:rPr>
                <w:highlight w:val="green"/>
              </w:rPr>
              <w:t xml:space="preserve"> method 3.</w:t>
            </w:r>
          </w:p>
          <w:p w:rsidR="005D0332" w:rsidRDefault="005D0332" w:rsidP="005D0332">
            <w:pPr>
              <w:numPr>
                <w:ilvl w:val="1"/>
                <w:numId w:val="26"/>
              </w:numPr>
              <w:rPr>
                <w:highlight w:val="green"/>
              </w:rPr>
            </w:pPr>
            <w:r w:rsidRPr="00CE69B1">
              <w:rPr>
                <w:highlight w:val="green"/>
              </w:rPr>
              <w:t xml:space="preserve">Results are needed for fine beam and also </w:t>
            </w:r>
            <w:r>
              <w:rPr>
                <w:highlight w:val="green"/>
              </w:rPr>
              <w:t>for rouge beam</w:t>
            </w:r>
            <w:r w:rsidRPr="00CE69B1">
              <w:rPr>
                <w:highlight w:val="green"/>
              </w:rPr>
              <w:t xml:space="preserve"> depending on the specific test case</w:t>
            </w:r>
            <w:r>
              <w:rPr>
                <w:highlight w:val="green"/>
              </w:rPr>
              <w:t xml:space="preserve"> for setup 1 and setup 2</w:t>
            </w:r>
            <w:r w:rsidRPr="00CE69B1">
              <w:rPr>
                <w:highlight w:val="green"/>
              </w:rPr>
              <w:t>.</w:t>
            </w:r>
          </w:p>
          <w:p w:rsidR="005D0332" w:rsidRPr="00CE69B1" w:rsidRDefault="005D0332" w:rsidP="005D0332">
            <w:pPr>
              <w:numPr>
                <w:ilvl w:val="1"/>
                <w:numId w:val="26"/>
              </w:numPr>
              <w:rPr>
                <w:highlight w:val="green"/>
              </w:rPr>
            </w:pPr>
            <w:r>
              <w:rPr>
                <w:highlight w:val="green"/>
              </w:rPr>
              <w:t xml:space="preserve">The same principle applies regardless of UE power class or band. But the values may differ. </w:t>
            </w:r>
          </w:p>
          <w:p w:rsidR="005D0332" w:rsidRDefault="005D0332" w:rsidP="005D0332">
            <w:r w:rsidRPr="00A12E83">
              <w:rPr>
                <w:highlight w:val="green"/>
              </w:rPr>
              <w:t>For testing relative accuracy, other methods are not precluded.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014"/>
            </w:tblGrid>
            <w:tr w:rsidR="005D0332" w:rsidRPr="005A7A09" w:rsidTr="00A70D20">
              <w:tc>
                <w:tcPr>
                  <w:tcW w:w="883" w:type="dxa"/>
                  <w:shd w:val="clear" w:color="auto" w:fill="auto"/>
                </w:tcPr>
                <w:p w:rsidR="005D0332" w:rsidRPr="005A7A09" w:rsidRDefault="005D0332" w:rsidP="005D0332">
                  <w:pPr>
                    <w:rPr>
                      <w:b/>
                      <w:highlight w:val="green"/>
                      <w:lang w:val="en-US" w:eastAsia="zh-CN"/>
                    </w:rPr>
                  </w:pPr>
                  <w:r w:rsidRPr="005A7A09">
                    <w:rPr>
                      <w:b/>
                      <w:highlight w:val="green"/>
                      <w:lang w:val="en-US" w:eastAsia="zh-CN"/>
                    </w:rPr>
                    <w:t>Method</w:t>
                  </w:r>
                </w:p>
              </w:tc>
              <w:tc>
                <w:tcPr>
                  <w:tcW w:w="8014" w:type="dxa"/>
                  <w:shd w:val="clear" w:color="auto" w:fill="auto"/>
                </w:tcPr>
                <w:p w:rsidR="005D0332" w:rsidRPr="005A7A09" w:rsidRDefault="005D0332" w:rsidP="005D0332">
                  <w:pPr>
                    <w:rPr>
                      <w:b/>
                      <w:highlight w:val="green"/>
                      <w:lang w:val="en-US" w:eastAsia="zh-CN"/>
                    </w:rPr>
                  </w:pPr>
                  <w:r w:rsidRPr="005A7A09">
                    <w:rPr>
                      <w:b/>
                      <w:highlight w:val="green"/>
                      <w:lang w:val="en-US" w:eastAsia="zh-CN"/>
                    </w:rPr>
                    <w:t>Proposal</w:t>
                  </w:r>
                </w:p>
              </w:tc>
            </w:tr>
            <w:tr w:rsidR="005D0332" w:rsidRPr="005A7A09" w:rsidTr="00A70D20">
              <w:tc>
                <w:tcPr>
                  <w:tcW w:w="883" w:type="dxa"/>
                  <w:shd w:val="clear" w:color="auto" w:fill="auto"/>
                </w:tcPr>
                <w:p w:rsidR="005D0332" w:rsidRPr="005A7A09" w:rsidRDefault="005D0332" w:rsidP="005D0332">
                  <w:pPr>
                    <w:jc w:val="center"/>
                    <w:rPr>
                      <w:highlight w:val="green"/>
                      <w:lang w:val="en-US" w:eastAsia="zh-CN"/>
                    </w:rPr>
                  </w:pPr>
                  <w:r w:rsidRPr="005A7A09">
                    <w:rPr>
                      <w:highlight w:val="green"/>
                      <w:lang w:val="en-US" w:eastAsia="zh-CN"/>
                    </w:rPr>
                    <w:t>1</w:t>
                  </w:r>
                </w:p>
              </w:tc>
              <w:tc>
                <w:tcPr>
                  <w:tcW w:w="8014" w:type="dxa"/>
                  <w:shd w:val="clear" w:color="auto" w:fill="auto"/>
                </w:tcPr>
                <w:p w:rsidR="005D0332" w:rsidRPr="005A7A09" w:rsidRDefault="005D0332" w:rsidP="005D0332">
                  <w:pPr>
                    <w:rPr>
                      <w:highlight w:val="green"/>
                      <w:lang w:val="en-US" w:eastAsia="zh-CN"/>
                    </w:rPr>
                  </w:pPr>
                  <w:r w:rsidRPr="005A7A09">
                    <w:rPr>
                      <w:highlight w:val="green"/>
                      <w:lang w:val="en-US" w:eastAsia="zh-CN"/>
                    </w:rPr>
                    <w:t>Use of single AoA in RRM  tests</w:t>
                  </w:r>
                </w:p>
              </w:tc>
            </w:tr>
            <w:tr w:rsidR="005D0332" w:rsidRPr="005A7A09" w:rsidTr="00A70D20">
              <w:tc>
                <w:tcPr>
                  <w:tcW w:w="883" w:type="dxa"/>
                  <w:shd w:val="clear" w:color="auto" w:fill="auto"/>
                </w:tcPr>
                <w:p w:rsidR="005D0332" w:rsidRPr="005A7A09" w:rsidRDefault="005D0332" w:rsidP="005D0332">
                  <w:pPr>
                    <w:tabs>
                      <w:tab w:val="left" w:pos="9075"/>
                    </w:tabs>
                    <w:jc w:val="center"/>
                    <w:rPr>
                      <w:highlight w:val="green"/>
                      <w:lang w:val="en-US" w:eastAsia="zh-CN"/>
                    </w:rPr>
                  </w:pPr>
                  <w:r w:rsidRPr="005A7A09">
                    <w:rPr>
                      <w:highlight w:val="green"/>
                      <w:lang w:val="en-US" w:eastAsia="zh-CN"/>
                    </w:rPr>
                    <w:t>2</w:t>
                  </w:r>
                </w:p>
              </w:tc>
              <w:tc>
                <w:tcPr>
                  <w:tcW w:w="8014" w:type="dxa"/>
                  <w:shd w:val="clear" w:color="auto" w:fill="auto"/>
                </w:tcPr>
                <w:p w:rsidR="005D0332" w:rsidRPr="005A7A09" w:rsidRDefault="005D0332" w:rsidP="005D0332">
                  <w:pPr>
                    <w:tabs>
                      <w:tab w:val="left" w:pos="9075"/>
                    </w:tabs>
                    <w:rPr>
                      <w:highlight w:val="green"/>
                      <w:lang w:val="en-US" w:eastAsia="zh-CN"/>
                    </w:rPr>
                  </w:pPr>
                  <w:r w:rsidRPr="005A7A09">
                    <w:rPr>
                      <w:highlight w:val="green"/>
                      <w:lang w:val="en-US" w:eastAsia="zh-CN"/>
                    </w:rPr>
                    <w:t>UE is used as a reference for itself</w:t>
                  </w:r>
                </w:p>
              </w:tc>
            </w:tr>
            <w:tr w:rsidR="005D0332" w:rsidRPr="005A7A09" w:rsidTr="00A70D20">
              <w:tc>
                <w:tcPr>
                  <w:tcW w:w="883" w:type="dxa"/>
                  <w:shd w:val="clear" w:color="auto" w:fill="auto"/>
                </w:tcPr>
                <w:p w:rsidR="005D0332" w:rsidRPr="005A7A09" w:rsidRDefault="005D0332" w:rsidP="005D0332">
                  <w:pPr>
                    <w:tabs>
                      <w:tab w:val="left" w:pos="9075"/>
                    </w:tabs>
                    <w:jc w:val="center"/>
                    <w:rPr>
                      <w:highlight w:val="green"/>
                      <w:lang w:val="en-US" w:eastAsia="zh-CN"/>
                    </w:rPr>
                  </w:pPr>
                  <w:r w:rsidRPr="005A7A09">
                    <w:rPr>
                      <w:highlight w:val="green"/>
                      <w:lang w:val="en-US" w:eastAsia="zh-CN"/>
                    </w:rPr>
                    <w:t>3</w:t>
                  </w:r>
                </w:p>
              </w:tc>
              <w:tc>
                <w:tcPr>
                  <w:tcW w:w="8014" w:type="dxa"/>
                  <w:shd w:val="clear" w:color="auto" w:fill="auto"/>
                </w:tcPr>
                <w:p w:rsidR="005D0332" w:rsidRPr="005A7A09" w:rsidRDefault="005D0332" w:rsidP="005D0332">
                  <w:pPr>
                    <w:tabs>
                      <w:tab w:val="left" w:pos="9075"/>
                    </w:tabs>
                    <w:rPr>
                      <w:highlight w:val="green"/>
                      <w:lang w:val="en-US" w:eastAsia="zh-CN"/>
                    </w:rPr>
                  </w:pPr>
                  <w:r w:rsidRPr="005A7A09">
                    <w:rPr>
                      <w:highlight w:val="green"/>
                      <w:lang w:val="en-US" w:eastAsia="zh-CN"/>
                    </w:rPr>
                    <w:t>Test limits are determined based on minimum and maximum allowable antenna gain</w:t>
                  </w:r>
                </w:p>
              </w:tc>
            </w:tr>
            <w:tr w:rsidR="005D0332" w:rsidRPr="005A7A09" w:rsidTr="00A70D20">
              <w:tc>
                <w:tcPr>
                  <w:tcW w:w="883" w:type="dxa"/>
                  <w:shd w:val="clear" w:color="auto" w:fill="auto"/>
                </w:tcPr>
                <w:p w:rsidR="005D0332" w:rsidRPr="005A7A09" w:rsidRDefault="005D0332" w:rsidP="005D0332">
                  <w:pPr>
                    <w:tabs>
                      <w:tab w:val="left" w:pos="9075"/>
                    </w:tabs>
                    <w:jc w:val="center"/>
                    <w:rPr>
                      <w:highlight w:val="green"/>
                      <w:lang w:val="en-US" w:eastAsia="zh-CN"/>
                    </w:rPr>
                  </w:pPr>
                  <w:r w:rsidRPr="005A7A09">
                    <w:rPr>
                      <w:highlight w:val="green"/>
                      <w:lang w:val="en-US" w:eastAsia="zh-CN"/>
                    </w:rPr>
                    <w:t>4</w:t>
                  </w:r>
                </w:p>
              </w:tc>
              <w:tc>
                <w:tcPr>
                  <w:tcW w:w="8014" w:type="dxa"/>
                  <w:shd w:val="clear" w:color="auto" w:fill="auto"/>
                </w:tcPr>
                <w:p w:rsidR="005D0332" w:rsidRPr="005A7A09" w:rsidRDefault="005D0332" w:rsidP="005D0332">
                  <w:pPr>
                    <w:tabs>
                      <w:tab w:val="left" w:pos="9075"/>
                    </w:tabs>
                    <w:rPr>
                      <w:lang w:val="en-US" w:eastAsia="zh-CN"/>
                    </w:rPr>
                  </w:pPr>
                  <w:r w:rsidRPr="005A7A09">
                    <w:rPr>
                      <w:highlight w:val="green"/>
                      <w:lang w:val="en-US" w:eastAsia="zh-CN"/>
                    </w:rPr>
                    <w:t>Absolute SS-RSRP bounds are determined using measured TRS, EIS and agreed limits on antenna efficiency</w:t>
                  </w:r>
                </w:p>
              </w:tc>
            </w:tr>
          </w:tbl>
          <w:p w:rsidR="005D0332" w:rsidRDefault="005D0332" w:rsidP="0032455B"/>
        </w:tc>
      </w:tr>
    </w:tbl>
    <w:p w:rsidR="0032455B" w:rsidRDefault="0032455B" w:rsidP="0032455B"/>
    <w:p w:rsidR="005D0332" w:rsidRPr="0032455B" w:rsidRDefault="005D0332" w:rsidP="0032455B"/>
    <w:p w:rsidR="005813AA" w:rsidRDefault="005813AA" w:rsidP="005813AA">
      <w:pPr>
        <w:pStyle w:val="Heading1"/>
        <w:jc w:val="both"/>
        <w:rPr>
          <w:rFonts w:eastAsia="SimSun"/>
          <w:lang w:val="en-US" w:eastAsia="zh-CN"/>
        </w:rPr>
      </w:pPr>
      <w:r>
        <w:rPr>
          <w:rFonts w:eastAsia="SimSun"/>
          <w:lang w:val="en-US" w:eastAsia="zh-CN"/>
        </w:rPr>
        <w:t>Discussion</w:t>
      </w:r>
    </w:p>
    <w:p w:rsidR="00527CF6" w:rsidRPr="00527CF6" w:rsidRDefault="00527CF6" w:rsidP="00527CF6">
      <w:pPr>
        <w:pStyle w:val="Heading2"/>
        <w:rPr>
          <w:lang w:val="en-US" w:eastAsia="zh-CN"/>
        </w:rPr>
      </w:pPr>
      <w:r>
        <w:rPr>
          <w:lang w:val="en-US" w:eastAsia="zh-CN"/>
        </w:rPr>
        <w:t>Analysis of ideal SS-RSRP definitions</w:t>
      </w:r>
    </w:p>
    <w:p w:rsidR="0032455B" w:rsidRDefault="005D0332" w:rsidP="0032455B">
      <w:pPr>
        <w:rPr>
          <w:lang w:val="en-US" w:eastAsia="zh-CN"/>
        </w:rPr>
      </w:pPr>
      <w:r>
        <w:rPr>
          <w:lang w:val="en-US" w:eastAsia="zh-CN"/>
        </w:rPr>
        <w:t>Since methods 2 and 3 were agreed for further analysis, we do not provide any analysis for methods 1 and 4. In addition, it was agreed to investigate a combined method 2/3</w:t>
      </w:r>
    </w:p>
    <w:p w:rsidR="005D0332" w:rsidRPr="005D0332" w:rsidRDefault="005D0332" w:rsidP="0032455B">
      <w:pPr>
        <w:rPr>
          <w:u w:val="single"/>
          <w:lang w:val="en-US" w:eastAsia="zh-CN"/>
        </w:rPr>
      </w:pPr>
      <w:r w:rsidRPr="005D0332">
        <w:rPr>
          <w:u w:val="single"/>
          <w:lang w:val="en-US" w:eastAsia="zh-CN"/>
        </w:rPr>
        <w:t>Method 2</w:t>
      </w:r>
    </w:p>
    <w:p w:rsidR="005D0332" w:rsidRDefault="005D0332" w:rsidP="0032455B">
      <w:pPr>
        <w:rPr>
          <w:lang w:val="en-US" w:eastAsia="zh-CN"/>
        </w:rPr>
      </w:pPr>
      <w:r>
        <w:rPr>
          <w:lang w:val="en-US" w:eastAsia="zh-CN"/>
        </w:rPr>
        <w:t xml:space="preserve">Method 2 has been summarized in </w:t>
      </w:r>
      <w:r w:rsidR="008A154B">
        <w:rPr>
          <w:lang w:val="en-US" w:eastAsia="zh-CN"/>
        </w:rPr>
        <w:fldChar w:fldCharType="begin"/>
      </w:r>
      <w:r w:rsidR="008A154B">
        <w:rPr>
          <w:lang w:val="en-US" w:eastAsia="zh-CN"/>
        </w:rPr>
        <w:instrText xml:space="preserve"> REF _Ref531258195 \r \h </w:instrText>
      </w:r>
      <w:r w:rsidR="008A154B">
        <w:rPr>
          <w:lang w:val="en-US" w:eastAsia="zh-CN"/>
        </w:rPr>
      </w:r>
      <w:r w:rsidR="008A154B">
        <w:rPr>
          <w:lang w:val="en-US" w:eastAsia="zh-CN"/>
        </w:rPr>
        <w:fldChar w:fldCharType="separate"/>
      </w:r>
      <w:r w:rsidR="008A154B">
        <w:rPr>
          <w:lang w:val="en-US" w:eastAsia="zh-CN"/>
        </w:rPr>
        <w:t>[</w:t>
      </w:r>
      <w:r w:rsidR="00620989">
        <w:rPr>
          <w:lang w:val="en-US" w:eastAsia="zh-CN"/>
        </w:rPr>
        <w:fldChar w:fldCharType="begin"/>
      </w:r>
      <w:r w:rsidR="00620989">
        <w:rPr>
          <w:lang w:val="en-US" w:eastAsia="zh-CN"/>
        </w:rPr>
        <w:instrText xml:space="preserve"> REF _Ref531263713 \r \h </w:instrText>
      </w:r>
      <w:r w:rsidR="00620989">
        <w:rPr>
          <w:lang w:val="en-US" w:eastAsia="zh-CN"/>
        </w:rPr>
      </w:r>
      <w:r w:rsidR="00620989">
        <w:rPr>
          <w:lang w:val="en-US" w:eastAsia="zh-CN"/>
        </w:rPr>
        <w:fldChar w:fldCharType="separate"/>
      </w:r>
      <w:r w:rsidR="00620989">
        <w:rPr>
          <w:lang w:val="en-US" w:eastAsia="zh-CN"/>
        </w:rPr>
        <w:t>[2]</w:t>
      </w:r>
      <w:r w:rsidR="00620989">
        <w:rPr>
          <w:lang w:val="en-US" w:eastAsia="zh-CN"/>
        </w:rPr>
        <w:fldChar w:fldCharType="end"/>
      </w:r>
      <w:r w:rsidR="008A154B">
        <w:rPr>
          <w:lang w:val="en-US" w:eastAsia="zh-CN"/>
        </w:rPr>
        <w:t>]</w:t>
      </w:r>
      <w:r w:rsidR="008A154B">
        <w:rPr>
          <w:lang w:val="en-US" w:eastAsia="zh-CN"/>
        </w:rPr>
        <w:fldChar w:fldCharType="end"/>
      </w:r>
      <w:r w:rsidR="008A154B">
        <w:rPr>
          <w:lang w:val="en-US" w:eastAsia="zh-CN"/>
        </w:rPr>
        <w:t xml:space="preserve"> as</w:t>
      </w:r>
    </w:p>
    <w:tbl>
      <w:tblPr>
        <w:tblStyle w:val="TableGrid"/>
        <w:tblW w:w="0" w:type="auto"/>
        <w:tblLook w:val="04A0" w:firstRow="1" w:lastRow="0" w:firstColumn="1" w:lastColumn="0" w:noHBand="0" w:noVBand="1"/>
      </w:tblPr>
      <w:tblGrid>
        <w:gridCol w:w="10537"/>
      </w:tblGrid>
      <w:tr w:rsidR="005D0332" w:rsidTr="005D0332">
        <w:tc>
          <w:tcPr>
            <w:tcW w:w="10537" w:type="dxa"/>
          </w:tcPr>
          <w:p w:rsidR="005D0332" w:rsidRPr="00DF671E" w:rsidRDefault="005D0332" w:rsidP="005D0332">
            <w:r w:rsidRPr="00DF671E">
              <w:t xml:space="preserve">For absolute RSRP accuracy which is defined as </w:t>
            </w:r>
          </w:p>
          <w:p w:rsidR="005D0332" w:rsidRPr="00DF671E" w:rsidRDefault="005D0332" w:rsidP="005D0332">
            <w:pPr>
              <w:jc w:val="center"/>
            </w:pPr>
            <w:r w:rsidRPr="00DF671E">
              <w:lastRenderedPageBreak/>
              <w:t>RSRP delta = measured RSRP- Geni RSRP</w:t>
            </w:r>
          </w:p>
          <w:p w:rsidR="005D0332" w:rsidRPr="00DF671E" w:rsidRDefault="005D0332" w:rsidP="005D0332">
            <w:r w:rsidRPr="00DF671E">
              <w:t>Step 1: calculation of Geni RSRP (P1):</w:t>
            </w:r>
          </w:p>
          <w:p w:rsidR="005D0332" w:rsidRPr="00DF671E" w:rsidRDefault="005D0332" w:rsidP="005D0332">
            <w:r w:rsidRPr="00DF671E">
              <w:t xml:space="preserve">Reference signal with high power is sent out from Tx side. At the receiver side, RSRP is measured after beamforming which is mainly signal power and can be considered as Geni RSRP. </w:t>
            </w:r>
          </w:p>
          <w:p w:rsidR="005D0332" w:rsidRPr="00DF671E" w:rsidRDefault="005D0332" w:rsidP="005D0332">
            <w:r w:rsidRPr="00DF671E">
              <w:t>Step 2: calculation of measured RSRP(P2):</w:t>
            </w:r>
          </w:p>
          <w:p w:rsidR="005D0332" w:rsidRPr="00DF671E" w:rsidRDefault="005D0332" w:rsidP="005D0332">
            <w:r w:rsidRPr="00DF671E">
              <w:t xml:space="preserve">With the method introduced in section 3, reference signal and artificial noise with SNR=-6dB is sent out from Tx side. The reference signal power is the same as that of step 1. RSRP is measured after beamforming with the side condition of SNR=-6dB. The measured RSRP includes reference signal power, artificial noise power and thermal noise power. Thermal noise is very low and can be omitted. </w:t>
            </w:r>
          </w:p>
          <w:p w:rsidR="005D0332" w:rsidRPr="00DF671E" w:rsidRDefault="005D0332" w:rsidP="005D0332">
            <w:r w:rsidRPr="00DF671E">
              <w:t>Step 3: calculation of RSRP delta(P3)</w:t>
            </w:r>
          </w:p>
          <w:p w:rsidR="005D0332" w:rsidRPr="00DF671E" w:rsidRDefault="005D0332" w:rsidP="005D0332">
            <w:pPr>
              <w:spacing w:after="0"/>
            </w:pPr>
            <w:r w:rsidRPr="00DF671E">
              <w:t>RSRP delta can be deduced by the previous two steps in dB units, where</w:t>
            </w:r>
          </w:p>
          <w:p w:rsidR="005D0332" w:rsidRPr="00DF671E" w:rsidRDefault="005D0332" w:rsidP="005D0332">
            <w:pPr>
              <w:spacing w:after="0"/>
              <w:jc w:val="center"/>
            </w:pPr>
            <w:r w:rsidRPr="00DF671E">
              <w:t>P3 = P2-P1</w:t>
            </w:r>
          </w:p>
          <w:p w:rsidR="005D0332" w:rsidRDefault="005D0332" w:rsidP="005D0332">
            <w:pPr>
              <w:rPr>
                <w:lang w:val="en-US" w:eastAsia="zh-CN"/>
              </w:rPr>
            </w:pPr>
            <w:r w:rsidRPr="00DF671E">
              <w:t>In step 1 and step 2, both the Geni RSRP and measured RSRP may include RF error. However, since RSRP delta is the deduction of the two RSRP values, the RF impact can be cancelled. RSRP delta is the baseband inaccuracy. Some implementation margin can be added to set the accuracy requirement</w:t>
            </w:r>
          </w:p>
        </w:tc>
      </w:tr>
    </w:tbl>
    <w:p w:rsidR="005D0332" w:rsidRDefault="005D0332" w:rsidP="0032455B">
      <w:pPr>
        <w:rPr>
          <w:lang w:val="en-US" w:eastAsia="zh-CN"/>
        </w:rPr>
      </w:pPr>
    </w:p>
    <w:p w:rsidR="008A154B" w:rsidRDefault="008A154B" w:rsidP="0032455B">
      <w:pPr>
        <w:rPr>
          <w:lang w:val="en-US" w:eastAsia="zh-CN"/>
        </w:rPr>
      </w:pPr>
      <w:r>
        <w:rPr>
          <w:lang w:val="en-US" w:eastAsia="zh-CN"/>
        </w:rPr>
        <w:t>The main shortcoming of this method is that any deterministic measurement error which is present in both step 1 (genie RSRP</w:t>
      </w:r>
      <w:r w:rsidR="00E14870">
        <w:rPr>
          <w:lang w:val="en-US" w:eastAsia="zh-CN"/>
        </w:rPr>
        <w:t>=P</w:t>
      </w:r>
      <w:r w:rsidR="00CB7337">
        <w:rPr>
          <w:lang w:val="en-US" w:eastAsia="zh-CN"/>
        </w:rPr>
        <w:t>1</w:t>
      </w:r>
      <w:r>
        <w:rPr>
          <w:lang w:val="en-US" w:eastAsia="zh-CN"/>
        </w:rPr>
        <w:t>) and step 2 (calculation of measured RSRP</w:t>
      </w:r>
      <w:r w:rsidR="00E14870">
        <w:rPr>
          <w:lang w:val="en-US" w:eastAsia="zh-CN"/>
        </w:rPr>
        <w:t>=P2</w:t>
      </w:r>
      <w:r>
        <w:rPr>
          <w:lang w:val="en-US" w:eastAsia="zh-CN"/>
        </w:rPr>
        <w:t>) is cancelled by the subtraction in step 3. In particular,</w:t>
      </w:r>
      <w:r w:rsidR="00CB7337">
        <w:rPr>
          <w:lang w:val="en-US" w:eastAsia="zh-CN"/>
        </w:rPr>
        <w:t xml:space="preserve"> </w:t>
      </w:r>
      <w:r>
        <w:rPr>
          <w:lang w:val="en-US" w:eastAsia="zh-CN"/>
        </w:rPr>
        <w:t>this means the method can only check the baseband impairment caused by artificial noise. Since the RRM SS-RSRP accuracy requirements in 38.133 section 10 were derived assuming both RF and baseband contributors to RF accuracy, the test becomes very non-demanding unless section 10 requirements are tightened to include requirements only baseband errors. More significantly, the UE can pass</w:t>
      </w:r>
      <w:r w:rsidR="00E14870">
        <w:rPr>
          <w:lang w:val="en-US" w:eastAsia="zh-CN"/>
        </w:rPr>
        <w:t xml:space="preserve"> with any RF gain calibration, so tests using this method provide no guarantee that different UE implementations have consistent SS-RSRP reporting (which should in some way relate to the signal strength that would be seen for demodulation purposes if a cell were taken into use, and hence provide information towards a prediction of achievable demodulation performance). Indeed, if we think of a hypothetical UE implementation which did not implement a measurement function at all, but simply reported a fixed dBm value for SS-RSRP this would pass the accuracy test under method 2, since it would report the same fixed number as genie RSRP and measured RSRP. Of course, this is not a likely </w:t>
      </w:r>
      <w:r w:rsidR="00BA7C5A">
        <w:rPr>
          <w:lang w:val="en-US" w:eastAsia="zh-CN"/>
        </w:rPr>
        <w:t>implementation,</w:t>
      </w:r>
      <w:r w:rsidR="00E14870">
        <w:rPr>
          <w:lang w:val="en-US" w:eastAsia="zh-CN"/>
        </w:rPr>
        <w:t xml:space="preserve"> but we mention it to illustrate that RRM functionalities are really not </w:t>
      </w:r>
      <w:r w:rsidR="00CB7337">
        <w:rPr>
          <w:lang w:val="en-US" w:eastAsia="zh-CN"/>
        </w:rPr>
        <w:t>verified</w:t>
      </w:r>
      <w:r w:rsidR="00E14870">
        <w:rPr>
          <w:lang w:val="en-US" w:eastAsia="zh-CN"/>
        </w:rPr>
        <w:t xml:space="preserve"> at all by method 2. Given the very considerable financial investment that is needed for OTA RRM tests, we think that method 2 based tests are not fit for purpose. RAN4 needs to perform deeper thinking and analysis to develop tests where the pass/fail criteria </w:t>
      </w:r>
      <w:r w:rsidR="00F03330">
        <w:rPr>
          <w:lang w:val="en-US" w:eastAsia="zh-CN"/>
        </w:rPr>
        <w:t>are</w:t>
      </w:r>
      <w:r w:rsidR="00E14870">
        <w:rPr>
          <w:lang w:val="en-US" w:eastAsia="zh-CN"/>
        </w:rPr>
        <w:t xml:space="preserve"> determined independently of the UE implementation.</w:t>
      </w:r>
    </w:p>
    <w:p w:rsidR="00E14870" w:rsidRDefault="00E14870" w:rsidP="0032455B">
      <w:pPr>
        <w:rPr>
          <w:b/>
          <w:lang w:val="en-US" w:eastAsia="zh-CN"/>
        </w:rPr>
      </w:pPr>
      <w:r>
        <w:rPr>
          <w:b/>
          <w:lang w:val="en-US" w:eastAsia="zh-CN"/>
        </w:rPr>
        <w:t xml:space="preserve">Proposal 1: Method 2 is </w:t>
      </w:r>
      <w:r w:rsidR="00620989">
        <w:rPr>
          <w:b/>
          <w:lang w:val="en-US" w:eastAsia="zh-CN"/>
        </w:rPr>
        <w:t>not used</w:t>
      </w:r>
      <w:r>
        <w:rPr>
          <w:b/>
          <w:lang w:val="en-US" w:eastAsia="zh-CN"/>
        </w:rPr>
        <w:t xml:space="preserve"> for future work on NR RRM testing</w:t>
      </w:r>
    </w:p>
    <w:p w:rsidR="00E14870" w:rsidRDefault="00E14870" w:rsidP="0032455B">
      <w:pPr>
        <w:rPr>
          <w:u w:val="single"/>
          <w:lang w:val="en-US" w:eastAsia="zh-CN"/>
        </w:rPr>
      </w:pPr>
      <w:r w:rsidRPr="00E14870">
        <w:rPr>
          <w:u w:val="single"/>
          <w:lang w:val="en-US" w:eastAsia="zh-CN"/>
        </w:rPr>
        <w:t>Method 3</w:t>
      </w:r>
    </w:p>
    <w:p w:rsidR="00E14870" w:rsidRDefault="00E14870" w:rsidP="0032455B">
      <w:pPr>
        <w:rPr>
          <w:lang w:val="en-US" w:eastAsia="zh-CN"/>
        </w:rPr>
      </w:pPr>
      <w:r>
        <w:rPr>
          <w:lang w:val="en-US" w:eastAsia="zh-CN"/>
        </w:rPr>
        <w:t>The main</w:t>
      </w:r>
      <w:r w:rsidR="00620989">
        <w:rPr>
          <w:lang w:val="en-US" w:eastAsia="zh-CN"/>
        </w:rPr>
        <w:t xml:space="preserve"> issue for method 3 is </w:t>
      </w:r>
      <w:r w:rsidR="00620989">
        <w:rPr>
          <w:lang w:val="en-US" w:eastAsia="zh-CN"/>
        </w:rPr>
        <w:tab/>
        <w:t xml:space="preserve">determining the minimum and maximum possible antenna gain. This needs to be </w:t>
      </w:r>
      <w:r w:rsidR="00F03330">
        <w:rPr>
          <w:lang w:val="en-US" w:eastAsia="zh-CN"/>
        </w:rPr>
        <w:t>analyzed</w:t>
      </w:r>
      <w:r w:rsidR="00620989">
        <w:rPr>
          <w:lang w:val="en-US" w:eastAsia="zh-CN"/>
        </w:rPr>
        <w:t xml:space="preserve"> for the following cases</w:t>
      </w:r>
    </w:p>
    <w:p w:rsidR="00620989" w:rsidRDefault="00620989" w:rsidP="00620989">
      <w:pPr>
        <w:pStyle w:val="ListParagraph"/>
        <w:numPr>
          <w:ilvl w:val="0"/>
          <w:numId w:val="27"/>
        </w:numPr>
        <w:rPr>
          <w:lang w:val="en-US" w:eastAsia="zh-CN"/>
        </w:rPr>
      </w:pPr>
      <w:r>
        <w:rPr>
          <w:lang w:val="en-US" w:eastAsia="zh-CN"/>
        </w:rPr>
        <w:t>Fine beam gain, peak beam direction (OTA scenario 1)</w:t>
      </w:r>
    </w:p>
    <w:p w:rsidR="00620989" w:rsidRDefault="00620989" w:rsidP="00620989">
      <w:pPr>
        <w:pStyle w:val="ListParagraph"/>
        <w:numPr>
          <w:ilvl w:val="0"/>
          <w:numId w:val="27"/>
        </w:numPr>
        <w:rPr>
          <w:lang w:val="en-US" w:eastAsia="zh-CN"/>
        </w:rPr>
      </w:pPr>
      <w:r>
        <w:rPr>
          <w:lang w:val="en-US" w:eastAsia="zh-CN"/>
        </w:rPr>
        <w:t>Fine beam gain, non-peak beam direction (OTA scenario 2&amp;3)</w:t>
      </w:r>
    </w:p>
    <w:p w:rsidR="00620989" w:rsidRDefault="00620989" w:rsidP="00620989">
      <w:pPr>
        <w:pStyle w:val="ListParagraph"/>
        <w:numPr>
          <w:ilvl w:val="0"/>
          <w:numId w:val="27"/>
        </w:numPr>
        <w:rPr>
          <w:lang w:val="en-US" w:eastAsia="zh-CN"/>
        </w:rPr>
      </w:pPr>
      <w:r>
        <w:rPr>
          <w:lang w:val="en-US" w:eastAsia="zh-CN"/>
        </w:rPr>
        <w:t xml:space="preserve">Rough beam gain, </w:t>
      </w:r>
      <w:r w:rsidR="00BF72C0">
        <w:rPr>
          <w:lang w:val="en-US" w:eastAsia="zh-CN"/>
        </w:rPr>
        <w:t>peak beam direction (OTA scenario 1)</w:t>
      </w:r>
    </w:p>
    <w:p w:rsidR="00BF72C0" w:rsidRDefault="00BF72C0" w:rsidP="00BF72C0">
      <w:pPr>
        <w:pStyle w:val="ListParagraph"/>
        <w:numPr>
          <w:ilvl w:val="0"/>
          <w:numId w:val="27"/>
        </w:numPr>
        <w:rPr>
          <w:lang w:val="en-US" w:eastAsia="zh-CN"/>
        </w:rPr>
      </w:pPr>
      <w:r>
        <w:rPr>
          <w:lang w:val="en-US" w:eastAsia="zh-CN"/>
        </w:rPr>
        <w:t>Rough beam gain, non-peak beam direction (OTA scenario 2&amp;3)</w:t>
      </w:r>
    </w:p>
    <w:p w:rsidR="00BF72C0" w:rsidRDefault="00BF72C0" w:rsidP="00BF72C0">
      <w:pPr>
        <w:rPr>
          <w:lang w:val="en-US" w:eastAsia="zh-CN"/>
        </w:rPr>
      </w:pPr>
    </w:p>
    <w:p w:rsidR="00BF72C0" w:rsidRDefault="00BF72C0" w:rsidP="00BF72C0">
      <w:pPr>
        <w:rPr>
          <w:lang w:val="en-US" w:eastAsia="zh-CN"/>
        </w:rPr>
      </w:pPr>
      <w:r>
        <w:rPr>
          <w:lang w:val="en-US" w:eastAsia="zh-CN"/>
        </w:rPr>
        <w:t>We note that for other work on OTA tests within the context of the testability SI, the absolute antenna gain, and the gain difference between fine and rough beams needs to be determined</w:t>
      </w:r>
      <w:r w:rsidR="00BA7C5A">
        <w:rPr>
          <w:lang w:val="en-US" w:eastAsia="zh-CN"/>
        </w:rPr>
        <w:fldChar w:fldCharType="begin"/>
      </w:r>
      <w:r w:rsidR="00BA7C5A">
        <w:rPr>
          <w:lang w:val="en-US" w:eastAsia="zh-CN"/>
        </w:rPr>
        <w:instrText xml:space="preserve"> REF _Ref531264335 \r \h </w:instrText>
      </w:r>
      <w:r w:rsidR="00BA7C5A">
        <w:rPr>
          <w:lang w:val="en-US" w:eastAsia="zh-CN"/>
        </w:rPr>
      </w:r>
      <w:r w:rsidR="00BA7C5A">
        <w:rPr>
          <w:lang w:val="en-US" w:eastAsia="zh-CN"/>
        </w:rPr>
        <w:fldChar w:fldCharType="separate"/>
      </w:r>
      <w:r w:rsidR="00BA7C5A">
        <w:rPr>
          <w:lang w:val="en-US" w:eastAsia="zh-CN"/>
        </w:rPr>
        <w:t>[3]</w:t>
      </w:r>
      <w:r w:rsidR="00BA7C5A">
        <w:rPr>
          <w:lang w:val="en-US" w:eastAsia="zh-CN"/>
        </w:rPr>
        <w:fldChar w:fldCharType="end"/>
      </w:r>
      <w:r>
        <w:rPr>
          <w:lang w:val="en-US" w:eastAsia="zh-CN"/>
        </w:rPr>
        <w:t xml:space="preserve"> to allow </w:t>
      </w:r>
      <w:r w:rsidR="00F03330">
        <w:rPr>
          <w:lang w:val="en-US" w:eastAsia="zh-CN"/>
        </w:rPr>
        <w:t>e.g.</w:t>
      </w:r>
      <w:r>
        <w:rPr>
          <w:lang w:val="en-US" w:eastAsia="zh-CN"/>
        </w:rPr>
        <w:t xml:space="preserve"> analysis of SINR in test cases. For this reason, our view is that a proper understanding of antenna assumptions is needed to develop </w:t>
      </w:r>
      <w:r w:rsidR="00BA7C5A">
        <w:rPr>
          <w:lang w:val="en-US" w:eastAsia="zh-CN"/>
        </w:rPr>
        <w:t>NR RRM OTA testing methodologies, and it is also feasible to reuse that understanding in the definition of nominal RSRP in test cases. We provide further analysis on antenna gain in a later section of this contribution.</w:t>
      </w:r>
    </w:p>
    <w:p w:rsidR="00BA7C5A" w:rsidRDefault="00BA7C5A" w:rsidP="00BF72C0">
      <w:pPr>
        <w:rPr>
          <w:b/>
          <w:lang w:val="en-US" w:eastAsia="zh-CN"/>
        </w:rPr>
      </w:pPr>
      <w:r>
        <w:rPr>
          <w:b/>
          <w:lang w:val="en-US" w:eastAsia="zh-CN"/>
        </w:rPr>
        <w:t>Proposal 2: Method 3 is feasible for future work on NR RRM testing.</w:t>
      </w:r>
    </w:p>
    <w:p w:rsidR="00BA7C5A" w:rsidRDefault="00BA7C5A" w:rsidP="00BF72C0">
      <w:pPr>
        <w:rPr>
          <w:u w:val="single"/>
          <w:lang w:val="en-US" w:eastAsia="zh-CN"/>
        </w:rPr>
      </w:pPr>
      <w:r w:rsidRPr="00BA7C5A">
        <w:rPr>
          <w:u w:val="single"/>
          <w:lang w:val="en-US" w:eastAsia="zh-CN"/>
        </w:rPr>
        <w:t>Combined</w:t>
      </w:r>
      <w:r>
        <w:rPr>
          <w:u w:val="single"/>
          <w:lang w:val="en-US" w:eastAsia="zh-CN"/>
        </w:rPr>
        <w:t xml:space="preserve"> method 2+method 3</w:t>
      </w:r>
    </w:p>
    <w:p w:rsidR="00E05D25" w:rsidRDefault="00BA7C5A" w:rsidP="00BF72C0">
      <w:pPr>
        <w:rPr>
          <w:lang w:val="en-US" w:eastAsia="zh-CN"/>
        </w:rPr>
      </w:pPr>
      <w:r>
        <w:rPr>
          <w:lang w:val="en-US" w:eastAsia="zh-CN"/>
        </w:rPr>
        <w:lastRenderedPageBreak/>
        <w:t>One possible enhancement of method 2 is that it was already agreed in RAN4#89 that relative accuracy requirements apply between a measurement of a cell and subsequent measurement of itself. This was introduced to facilitate RAN5 signaling tests without accurately calibrated levels, but it could also be exploited in a modified method 2</w:t>
      </w:r>
      <w:r w:rsidR="003978C2">
        <w:rPr>
          <w:lang w:val="en-US" w:eastAsia="zh-CN"/>
        </w:rPr>
        <w:t>, which we denote as method 2a</w:t>
      </w:r>
      <w:r>
        <w:rPr>
          <w:lang w:val="en-US" w:eastAsia="zh-CN"/>
        </w:rPr>
        <w:t>. The modified method can be summarized as</w:t>
      </w:r>
    </w:p>
    <w:tbl>
      <w:tblPr>
        <w:tblStyle w:val="TableGrid"/>
        <w:tblW w:w="0" w:type="auto"/>
        <w:tblLook w:val="04A0" w:firstRow="1" w:lastRow="0" w:firstColumn="1" w:lastColumn="0" w:noHBand="0" w:noVBand="1"/>
      </w:tblPr>
      <w:tblGrid>
        <w:gridCol w:w="10537"/>
      </w:tblGrid>
      <w:tr w:rsidR="00E05D25" w:rsidTr="00E05D25">
        <w:tc>
          <w:tcPr>
            <w:tcW w:w="10537" w:type="dxa"/>
          </w:tcPr>
          <w:p w:rsidR="003978C2" w:rsidRDefault="003978C2" w:rsidP="00E05D25">
            <w:r>
              <w:t>Method 2a</w:t>
            </w:r>
          </w:p>
          <w:p w:rsidR="00E05D25" w:rsidRPr="00DF671E" w:rsidRDefault="00E05D25" w:rsidP="00E05D25">
            <w:r w:rsidRPr="00DF671E">
              <w:t>Step 1: calculation of Geni RSRP (P1):</w:t>
            </w:r>
          </w:p>
          <w:p w:rsidR="00E05D25" w:rsidRDefault="00E05D25" w:rsidP="00E05D25">
            <w:r w:rsidRPr="00DF671E">
              <w:t xml:space="preserve">Reference signal with high power is sent out from Tx side. At the receiver side, RSRP is measured after beamforming which is mainly signal power and can be considered as Geni RSRP. </w:t>
            </w:r>
          </w:p>
          <w:p w:rsidR="00E05D25" w:rsidRPr="00DF671E" w:rsidRDefault="00E05D25" w:rsidP="00E05D25">
            <w:r w:rsidRPr="00DF671E">
              <w:t>Step 2: calculation of measured RSRP(P2):</w:t>
            </w:r>
          </w:p>
          <w:p w:rsidR="00E05D25" w:rsidRPr="00DF671E" w:rsidRDefault="00E05D25" w:rsidP="00E05D25">
            <w:r w:rsidRPr="00DF671E">
              <w:t xml:space="preserve">With the method introduced in section 3, reference signal and artificial noise with SNR=-6dB is sent out from Tx side. </w:t>
            </w:r>
            <w:r w:rsidRPr="00E05D25">
              <w:rPr>
                <w:strike/>
              </w:rPr>
              <w:t>The reference signal power is the same as that of step 1</w:t>
            </w:r>
            <w:r w:rsidRPr="00DF671E">
              <w:t xml:space="preserve">. </w:t>
            </w:r>
            <w:r w:rsidRPr="00E05D25">
              <w:rPr>
                <w:highlight w:val="yellow"/>
              </w:rPr>
              <w:t>Modify (</w:t>
            </w:r>
            <w:r w:rsidR="00F03330" w:rsidRPr="00E05D25">
              <w:rPr>
                <w:highlight w:val="yellow"/>
              </w:rPr>
              <w:t>e.g.</w:t>
            </w:r>
            <w:r w:rsidRPr="00E05D25">
              <w:rPr>
                <w:highlight w:val="yellow"/>
              </w:rPr>
              <w:t xml:space="preserve"> reduce) the TX power by an amount Δ</w:t>
            </w:r>
            <w:r w:rsidRPr="00E05D25">
              <w:rPr>
                <w:highlight w:val="yellow"/>
                <w:vertAlign w:val="subscript"/>
              </w:rPr>
              <w:t>RSRP</w:t>
            </w:r>
            <w:r w:rsidRPr="00E05D25">
              <w:rPr>
                <w:highlight w:val="yellow"/>
              </w:rPr>
              <w:t>.</w:t>
            </w:r>
            <w:r>
              <w:t xml:space="preserve"> </w:t>
            </w:r>
            <w:r w:rsidRPr="00DF671E">
              <w:t xml:space="preserve">RSRP is measured after beamforming with the side condition of SNR=-6dB. The measured RSRP includes reference signal power, artificial noise power and thermal noise power. Thermal noise is very low and can be omitted. </w:t>
            </w:r>
          </w:p>
          <w:p w:rsidR="00E05D25" w:rsidRPr="00DF671E" w:rsidRDefault="00E05D25" w:rsidP="00E05D25">
            <w:r w:rsidRPr="00DF671E">
              <w:t>Step 3: calculation of RSRP delta(P3)</w:t>
            </w:r>
          </w:p>
          <w:p w:rsidR="00E05D25" w:rsidRPr="00DF671E" w:rsidRDefault="00E05D25" w:rsidP="00E05D25">
            <w:pPr>
              <w:spacing w:after="0"/>
            </w:pPr>
            <w:r w:rsidRPr="00DF671E">
              <w:t>RSRP delta can be deduced by the previous two steps in dB units, where</w:t>
            </w:r>
          </w:p>
          <w:p w:rsidR="00E05D25" w:rsidRPr="00DF671E" w:rsidRDefault="00E05D25" w:rsidP="00E05D25">
            <w:pPr>
              <w:spacing w:after="0"/>
              <w:jc w:val="center"/>
            </w:pPr>
            <w:r w:rsidRPr="00DF671E">
              <w:t>P3 = P2-</w:t>
            </w:r>
            <w:r w:rsidRPr="00E05D25">
              <w:t>P1- Δ</w:t>
            </w:r>
            <w:r w:rsidRPr="00E05D25">
              <w:rPr>
                <w:vertAlign w:val="subscript"/>
              </w:rPr>
              <w:t>RSRP</w:t>
            </w:r>
          </w:p>
          <w:p w:rsidR="00E05D25" w:rsidRDefault="00E05D25" w:rsidP="00BF72C0">
            <w:pPr>
              <w:rPr>
                <w:lang w:val="en-US" w:eastAsia="zh-CN"/>
              </w:rPr>
            </w:pPr>
            <w:r>
              <w:rPr>
                <w:lang w:val="en-US" w:eastAsia="zh-CN"/>
              </w:rPr>
              <w:t>An important aspect of the modified method is that the test limits for P3 should be derived using relative, rather than absolute accuracy, since the P3 measurement is a comparison of two measurement reports from the same cell.</w:t>
            </w:r>
          </w:p>
        </w:tc>
      </w:tr>
    </w:tbl>
    <w:p w:rsidR="00E05D25" w:rsidRDefault="00E05D25" w:rsidP="00BF72C0">
      <w:pPr>
        <w:rPr>
          <w:lang w:val="en-US" w:eastAsia="zh-CN"/>
        </w:rPr>
      </w:pPr>
      <w:r>
        <w:rPr>
          <w:lang w:val="en-US" w:eastAsia="zh-CN"/>
        </w:rPr>
        <w:t xml:space="preserve">Such test method does not verify absolute calibration of the </w:t>
      </w:r>
      <w:r w:rsidR="00A334CE">
        <w:rPr>
          <w:lang w:val="en-US" w:eastAsia="zh-CN"/>
        </w:rPr>
        <w:t>RF;</w:t>
      </w:r>
      <w:r>
        <w:rPr>
          <w:lang w:val="en-US" w:eastAsia="zh-CN"/>
        </w:rPr>
        <w:t xml:space="preserve"> </w:t>
      </w:r>
      <w:r w:rsidR="00A334CE">
        <w:rPr>
          <w:lang w:val="en-US" w:eastAsia="zh-CN"/>
        </w:rPr>
        <w:t>however,</w:t>
      </w:r>
      <w:r>
        <w:rPr>
          <w:lang w:val="en-US" w:eastAsia="zh-CN"/>
        </w:rPr>
        <w:t xml:space="preserve"> it does verify that the RF (and baseband) behaves in an acceptably linear way when input power is varied. In our view it would be important to verify the absolute </w:t>
      </w:r>
      <w:r w:rsidR="007268B4">
        <w:rPr>
          <w:lang w:val="en-US" w:eastAsia="zh-CN"/>
        </w:rPr>
        <w:t xml:space="preserve">accuracy, so this aspect also needs to be combined with </w:t>
      </w:r>
      <w:r w:rsidR="00EF77E3">
        <w:rPr>
          <w:lang w:val="en-US" w:eastAsia="zh-CN"/>
        </w:rPr>
        <w:t xml:space="preserve">method 3; one way to achieve this would be to verify the initial genie RSRP (P1) according to </w:t>
      </w:r>
      <w:r w:rsidR="003978C2">
        <w:rPr>
          <w:lang w:val="en-US" w:eastAsia="zh-CN"/>
        </w:rPr>
        <w:t>method 3, then to apply method 2a in the remainder of the test. The complete test method is summarized as</w:t>
      </w:r>
    </w:p>
    <w:tbl>
      <w:tblPr>
        <w:tblStyle w:val="TableGrid"/>
        <w:tblW w:w="0" w:type="auto"/>
        <w:tblLook w:val="04A0" w:firstRow="1" w:lastRow="0" w:firstColumn="1" w:lastColumn="0" w:noHBand="0" w:noVBand="1"/>
      </w:tblPr>
      <w:tblGrid>
        <w:gridCol w:w="10537"/>
      </w:tblGrid>
      <w:tr w:rsidR="003978C2" w:rsidTr="003978C2">
        <w:tc>
          <w:tcPr>
            <w:tcW w:w="10537" w:type="dxa"/>
          </w:tcPr>
          <w:p w:rsidR="003978C2" w:rsidRPr="003978C2" w:rsidRDefault="003978C2" w:rsidP="003978C2">
            <w:pPr>
              <w:rPr>
                <w:b/>
              </w:rPr>
            </w:pPr>
            <w:r w:rsidRPr="003978C2">
              <w:rPr>
                <w:b/>
              </w:rPr>
              <w:t>Method 2a+3</w:t>
            </w:r>
          </w:p>
          <w:p w:rsidR="003978C2" w:rsidRDefault="003978C2" w:rsidP="003978C2">
            <w:r w:rsidRPr="00DF671E">
              <w:t>Step 1: calculation of Geni RSRP (P1):</w:t>
            </w:r>
          </w:p>
          <w:p w:rsidR="003978C2" w:rsidRDefault="003978C2" w:rsidP="003978C2">
            <w:r w:rsidRPr="00DF671E">
              <w:t xml:space="preserve">Reference signal with high power is sent out from Tx side. At the receiver side, RSRP is measured after beamforming which is mainly signal power and can be considered as Geni RSRP. </w:t>
            </w:r>
          </w:p>
          <w:p w:rsidR="003978C2" w:rsidRPr="00DF671E" w:rsidRDefault="003978C2" w:rsidP="003978C2">
            <w:r w:rsidRPr="003978C2">
              <w:rPr>
                <w:highlight w:val="cyan"/>
              </w:rPr>
              <w:t>Step 1a : Verify that P1 meets absolute accuracy requirements according to method 3</w:t>
            </w:r>
          </w:p>
          <w:p w:rsidR="003978C2" w:rsidRPr="00DF671E" w:rsidRDefault="003978C2" w:rsidP="003978C2">
            <w:r w:rsidRPr="00DF671E">
              <w:t>Step 2: calculation of measured RSRP(P2):</w:t>
            </w:r>
          </w:p>
          <w:p w:rsidR="003978C2" w:rsidRPr="00DF671E" w:rsidRDefault="003978C2" w:rsidP="003978C2">
            <w:r w:rsidRPr="00DF671E">
              <w:t xml:space="preserve">With the method introduced in section 3, reference signal and artificial noise with SNR=-6dB is sent out from Tx </w:t>
            </w:r>
            <w:r w:rsidR="00A334CE" w:rsidRPr="00DF671E">
              <w:t>side.</w:t>
            </w:r>
            <w:r w:rsidRPr="00DF671E">
              <w:t xml:space="preserve"> </w:t>
            </w:r>
            <w:r w:rsidRPr="00E05D25">
              <w:rPr>
                <w:highlight w:val="yellow"/>
              </w:rPr>
              <w:t>Modify (</w:t>
            </w:r>
            <w:r w:rsidR="00A334CE" w:rsidRPr="00E05D25">
              <w:rPr>
                <w:highlight w:val="yellow"/>
              </w:rPr>
              <w:t>e.g.</w:t>
            </w:r>
            <w:r w:rsidRPr="00E05D25">
              <w:rPr>
                <w:highlight w:val="yellow"/>
              </w:rPr>
              <w:t xml:space="preserve"> reduce) the TX power by an amount Δ</w:t>
            </w:r>
            <w:r w:rsidRPr="00E05D25">
              <w:rPr>
                <w:highlight w:val="yellow"/>
                <w:vertAlign w:val="subscript"/>
              </w:rPr>
              <w:t>RSRP</w:t>
            </w:r>
            <w:r w:rsidRPr="00E05D25">
              <w:rPr>
                <w:highlight w:val="yellow"/>
              </w:rPr>
              <w:t>.</w:t>
            </w:r>
            <w:r>
              <w:t xml:space="preserve"> </w:t>
            </w:r>
            <w:r w:rsidRPr="00DF671E">
              <w:t xml:space="preserve">RSRP is measured after beamforming with the side condition of SNR=-6dB. The measured RSRP includes reference signal power, artificial noise power and thermal noise power. Thermal noise is very low and can be omitted. </w:t>
            </w:r>
          </w:p>
          <w:p w:rsidR="003978C2" w:rsidRPr="00DF671E" w:rsidRDefault="003978C2" w:rsidP="003978C2">
            <w:r w:rsidRPr="00DF671E">
              <w:t>Step 3: calculation of RSRP delta(P3)</w:t>
            </w:r>
          </w:p>
          <w:p w:rsidR="003978C2" w:rsidRPr="00DF671E" w:rsidRDefault="003978C2" w:rsidP="003978C2">
            <w:pPr>
              <w:spacing w:after="0"/>
            </w:pPr>
            <w:r w:rsidRPr="00DF671E">
              <w:t>RSRP delta can be deduced by the previous two steps in dB units, where</w:t>
            </w:r>
          </w:p>
          <w:p w:rsidR="003978C2" w:rsidRPr="00DF671E" w:rsidRDefault="003978C2" w:rsidP="003978C2">
            <w:pPr>
              <w:spacing w:after="0"/>
              <w:jc w:val="center"/>
            </w:pPr>
            <w:r w:rsidRPr="00DF671E">
              <w:t>P3 = P2-</w:t>
            </w:r>
            <w:r w:rsidRPr="00E05D25">
              <w:t>P1- Δ</w:t>
            </w:r>
            <w:r w:rsidRPr="00E05D25">
              <w:rPr>
                <w:vertAlign w:val="subscript"/>
              </w:rPr>
              <w:t>RSRP</w:t>
            </w:r>
          </w:p>
          <w:p w:rsidR="003978C2" w:rsidRDefault="003978C2" w:rsidP="003978C2">
            <w:pPr>
              <w:rPr>
                <w:lang w:val="en-US" w:eastAsia="zh-CN"/>
              </w:rPr>
            </w:pPr>
            <w:r w:rsidRPr="003978C2">
              <w:rPr>
                <w:highlight w:val="cyan"/>
                <w:lang w:val="en-US" w:eastAsia="zh-CN"/>
              </w:rPr>
              <w:t>Verify that P3 meets relative accuracy requirements</w:t>
            </w:r>
          </w:p>
        </w:tc>
      </w:tr>
    </w:tbl>
    <w:p w:rsidR="003978C2" w:rsidRDefault="003978C2" w:rsidP="00BF72C0">
      <w:pPr>
        <w:rPr>
          <w:lang w:val="en-US" w:eastAsia="zh-CN"/>
        </w:rPr>
      </w:pPr>
    </w:p>
    <w:p w:rsidR="00AF6408" w:rsidRPr="00AF6408" w:rsidRDefault="00AF6408" w:rsidP="00BF72C0">
      <w:pPr>
        <w:rPr>
          <w:lang w:val="en-US" w:eastAsia="zh-CN"/>
        </w:rPr>
      </w:pPr>
      <w:r>
        <w:rPr>
          <w:lang w:val="en-US" w:eastAsia="zh-CN"/>
        </w:rPr>
        <w:t xml:space="preserve">Step 2 can be repeated with different </w:t>
      </w:r>
      <w:r w:rsidRPr="00AF6408">
        <w:t>Δ</w:t>
      </w:r>
      <w:r w:rsidRPr="00AF6408">
        <w:rPr>
          <w:vertAlign w:val="subscript"/>
        </w:rPr>
        <w:t>RSRP</w:t>
      </w:r>
      <w:r w:rsidRPr="00AF6408">
        <w:t xml:space="preserve"> as </w:t>
      </w:r>
      <w:r>
        <w:t>test needs dictate.</w:t>
      </w:r>
    </w:p>
    <w:p w:rsidR="003978C2" w:rsidRDefault="003978C2" w:rsidP="00BF72C0">
      <w:pPr>
        <w:rPr>
          <w:lang w:val="en-US" w:eastAsia="zh-CN"/>
        </w:rPr>
      </w:pPr>
      <w:r>
        <w:rPr>
          <w:lang w:val="en-US" w:eastAsia="zh-CN"/>
        </w:rPr>
        <w:t>Such test method could be considered as verifying RF performance (P1 verification) and BB accuracy (P3 verification) independently. Note that in addition, traditional relative accuracy requirements (power difference between two cells) should also be verified, the discussion so far relates to verifying the measurement reports of one cell (which could have earlier been considered as “absolute accuracy”).</w:t>
      </w:r>
      <w:r>
        <w:rPr>
          <w:b/>
          <w:lang w:val="en-US" w:eastAsia="zh-CN"/>
        </w:rPr>
        <w:t xml:space="preserve"> </w:t>
      </w:r>
      <w:r>
        <w:rPr>
          <w:lang w:val="en-US" w:eastAsia="zh-CN"/>
        </w:rPr>
        <w:t>We do not have a very strong view if the combined method 2a+3 offers additional benefit compared with just using method 3; this largely depends on the final test requirement values and whether method 3 by itself has wide test limits when considering practical antenna gain range.</w:t>
      </w:r>
    </w:p>
    <w:p w:rsidR="003978C2" w:rsidRPr="003978C2" w:rsidRDefault="005158C5" w:rsidP="00BF72C0">
      <w:pPr>
        <w:rPr>
          <w:b/>
          <w:lang w:val="en-US" w:eastAsia="zh-CN"/>
        </w:rPr>
      </w:pPr>
      <w:r>
        <w:rPr>
          <w:b/>
          <w:lang w:val="en-US" w:eastAsia="zh-CN"/>
        </w:rPr>
        <w:lastRenderedPageBreak/>
        <w:t>Proposal</w:t>
      </w:r>
      <w:r w:rsidR="003978C2">
        <w:rPr>
          <w:b/>
          <w:lang w:val="en-US" w:eastAsia="zh-CN"/>
        </w:rPr>
        <w:t xml:space="preserve"> 3 : Combined method 2a+3 can be considered, especially if method 3 by itself has wide test limits considering practical antenna gain range</w:t>
      </w:r>
    </w:p>
    <w:p w:rsidR="00AF6408" w:rsidRDefault="00AF6408" w:rsidP="00AF6408">
      <w:pPr>
        <w:rPr>
          <w:i/>
          <w:u w:val="single"/>
          <w:lang w:val="en-US" w:eastAsia="zh-CN"/>
        </w:rPr>
      </w:pPr>
      <w:r>
        <w:rPr>
          <w:u w:val="single"/>
          <w:lang w:val="en-US" w:eastAsia="zh-CN"/>
        </w:rPr>
        <w:t>Relative accuracy consideration</w:t>
      </w:r>
    </w:p>
    <w:p w:rsidR="00AF6408" w:rsidRDefault="00AF6408" w:rsidP="00AF6408">
      <w:pPr>
        <w:rPr>
          <w:lang w:val="en-US" w:eastAsia="zh-CN"/>
        </w:rPr>
      </w:pPr>
      <w:r>
        <w:rPr>
          <w:lang w:val="en-US" w:eastAsia="zh-CN"/>
        </w:rPr>
        <w:t>In two cell test cases, the power difference between cells is important, either to directly verify measurement accuracy, or to set test thresholds, for example in event triggered reporting tests.</w:t>
      </w:r>
      <w:r w:rsidR="00DD5731">
        <w:rPr>
          <w:lang w:val="en-US" w:eastAsia="zh-CN"/>
        </w:rPr>
        <w:t xml:space="preserve"> In OTA scenarios 1 and 2</w:t>
      </w:r>
      <w:r w:rsidR="00D5272A">
        <w:rPr>
          <w:lang w:val="en-US" w:eastAsia="zh-CN"/>
        </w:rPr>
        <w:t xml:space="preserve"> both cells are transmitted from the same </w:t>
      </w:r>
      <w:r w:rsidR="00A334CE">
        <w:rPr>
          <w:lang w:val="en-US" w:eastAsia="zh-CN"/>
        </w:rPr>
        <w:t>direction,</w:t>
      </w:r>
      <w:r w:rsidR="00D5272A">
        <w:rPr>
          <w:lang w:val="en-US" w:eastAsia="zh-CN"/>
        </w:rPr>
        <w:t xml:space="preserve"> so it can be assumed that regardless of the antenna gain in the measurement, both cells will experience the same antenna gain. Hence, it is rather straightforward to verify accuracy requirements directly in OTA scenario 1 and 2 tests.</w:t>
      </w:r>
    </w:p>
    <w:p w:rsidR="00D5272A" w:rsidRDefault="00D5272A" w:rsidP="00AF6408">
      <w:pPr>
        <w:rPr>
          <w:b/>
          <w:lang w:val="en-US" w:eastAsia="zh-CN"/>
        </w:rPr>
      </w:pPr>
      <w:r>
        <w:rPr>
          <w:b/>
          <w:lang w:val="en-US" w:eastAsia="zh-CN"/>
        </w:rPr>
        <w:t>Proposal 4: Relative accuracy requirements can be directly applied in OTA scenario 1 and 2</w:t>
      </w:r>
    </w:p>
    <w:p w:rsidR="00D5272A" w:rsidRDefault="00D5272A" w:rsidP="00AF6408">
      <w:pPr>
        <w:rPr>
          <w:lang w:val="en-US" w:eastAsia="zh-CN"/>
        </w:rPr>
      </w:pPr>
      <w:r>
        <w:rPr>
          <w:lang w:val="en-US" w:eastAsia="zh-CN"/>
        </w:rPr>
        <w:t xml:space="preserve">For scenario 3, </w:t>
      </w:r>
      <w:r w:rsidR="00A33AE8">
        <w:rPr>
          <w:lang w:val="en-US" w:eastAsia="zh-CN"/>
        </w:rPr>
        <w:t xml:space="preserve">different antenna gain in the different directions needs to be </w:t>
      </w:r>
      <w:r w:rsidR="00A334CE">
        <w:rPr>
          <w:lang w:val="en-US" w:eastAsia="zh-CN"/>
        </w:rPr>
        <w:t>considered</w:t>
      </w:r>
      <w:r w:rsidR="003771DF">
        <w:rPr>
          <w:lang w:val="en-US" w:eastAsia="zh-CN"/>
        </w:rPr>
        <w:t>. Further discussion is needed in RAN4; the question which needs to be considered is the maximum acceptable difference in antenna gain from two directions which are within the spherical coverage requirement as far as RRM is concerned (within</w:t>
      </w:r>
      <w:r w:rsidR="003771DF" w:rsidRPr="003771DF">
        <w:t xml:space="preserve"> </w:t>
      </w:r>
      <w:r w:rsidR="003771DF" w:rsidRPr="003771DF">
        <w:rPr>
          <w:lang w:val="en-US" w:eastAsia="zh-CN"/>
        </w:rPr>
        <w:t>directions which are covered by [50%] percentile EIS spherical coverage of the DUT</w:t>
      </w:r>
      <w:r w:rsidR="003771DF">
        <w:rPr>
          <w:lang w:val="en-US" w:eastAsia="zh-CN"/>
        </w:rPr>
        <w:t>)</w:t>
      </w:r>
    </w:p>
    <w:p w:rsidR="003771DF" w:rsidRDefault="003771DF" w:rsidP="00AF6408">
      <w:pPr>
        <w:rPr>
          <w:b/>
          <w:lang w:val="en-US" w:eastAsia="zh-CN"/>
        </w:rPr>
      </w:pPr>
      <w:r>
        <w:rPr>
          <w:b/>
          <w:lang w:val="en-US" w:eastAsia="zh-CN"/>
        </w:rPr>
        <w:t>Proposal 5: RAN4 needs to discuss further how to apply relative accuracy requirements in OTA scenario 3.</w:t>
      </w:r>
    </w:p>
    <w:p w:rsidR="003978C2" w:rsidRDefault="003771DF" w:rsidP="00527CF6">
      <w:pPr>
        <w:pStyle w:val="Heading2"/>
        <w:rPr>
          <w:lang w:val="en-US" w:eastAsia="zh-CN"/>
        </w:rPr>
      </w:pPr>
      <w:r w:rsidRPr="003771DF">
        <w:rPr>
          <w:lang w:val="en-US" w:eastAsia="zh-CN"/>
        </w:rPr>
        <w:t>Antenna gain analysis</w:t>
      </w:r>
    </w:p>
    <w:p w:rsidR="00527CF6" w:rsidRDefault="00527CF6" w:rsidP="00527CF6">
      <w:pPr>
        <w:pStyle w:val="Heading3"/>
        <w:rPr>
          <w:lang w:val="en-US" w:eastAsia="zh-CN"/>
        </w:rPr>
      </w:pPr>
      <w:r>
        <w:rPr>
          <w:lang w:val="en-US" w:eastAsia="zh-CN"/>
        </w:rPr>
        <w:t>Fine beam, minimum antenna gain</w:t>
      </w:r>
    </w:p>
    <w:p w:rsidR="00527CF6" w:rsidRPr="00527CF6" w:rsidRDefault="00527CF6" w:rsidP="00527CF6">
      <w:pPr>
        <w:rPr>
          <w:lang w:val="en-US" w:eastAsia="zh-CN"/>
        </w:rPr>
      </w:pPr>
      <w:r>
        <w:rPr>
          <w:lang w:val="en-US" w:eastAsia="zh-CN"/>
        </w:rPr>
        <w:t xml:space="preserve">The minimum antenna gain for fine beam corresponds to the gain used in EIS requirements. From </w:t>
      </w:r>
      <w:r>
        <w:rPr>
          <w:lang w:val="en-US" w:eastAsia="zh-CN"/>
        </w:rPr>
        <w:fldChar w:fldCharType="begin"/>
      </w:r>
      <w:r>
        <w:rPr>
          <w:lang w:val="en-US" w:eastAsia="zh-CN"/>
        </w:rPr>
        <w:instrText xml:space="preserve"> REF _Ref531610944 \r \h </w:instrText>
      </w:r>
      <w:r>
        <w:rPr>
          <w:lang w:val="en-US" w:eastAsia="zh-CN"/>
        </w:rPr>
      </w:r>
      <w:r>
        <w:rPr>
          <w:lang w:val="en-US" w:eastAsia="zh-CN"/>
        </w:rPr>
        <w:fldChar w:fldCharType="separate"/>
      </w:r>
      <w:r>
        <w:rPr>
          <w:lang w:val="en-US" w:eastAsia="zh-CN"/>
        </w:rPr>
        <w:t>[4]</w:t>
      </w:r>
      <w:r>
        <w:rPr>
          <w:lang w:val="en-US" w:eastAsia="zh-CN"/>
        </w:rPr>
        <w:fldChar w:fldCharType="end"/>
      </w:r>
      <w:r>
        <w:rPr>
          <w:lang w:val="en-US" w:eastAsia="zh-CN"/>
        </w:rPr>
        <w:t xml:space="preserve">, we propose to follow a similar approach as </w:t>
      </w:r>
      <w:r>
        <w:rPr>
          <w:lang w:val="en-US" w:eastAsia="zh-CN"/>
        </w:rPr>
        <w:fldChar w:fldCharType="begin"/>
      </w:r>
      <w:r>
        <w:rPr>
          <w:lang w:val="en-US" w:eastAsia="zh-CN"/>
        </w:rPr>
        <w:instrText xml:space="preserve"> REF _Ref531611105 \r \h </w:instrText>
      </w:r>
      <w:r>
        <w:rPr>
          <w:lang w:val="en-US" w:eastAsia="zh-CN"/>
        </w:rPr>
      </w:r>
      <w:r>
        <w:rPr>
          <w:lang w:val="en-US" w:eastAsia="zh-CN"/>
        </w:rPr>
        <w:fldChar w:fldCharType="separate"/>
      </w:r>
      <w:r>
        <w:rPr>
          <w:lang w:val="en-US" w:eastAsia="zh-CN"/>
        </w:rPr>
        <w:t>[5]</w:t>
      </w:r>
      <w:r>
        <w:rPr>
          <w:lang w:val="en-US" w:eastAsia="zh-CN"/>
        </w:rPr>
        <w:fldChar w:fldCharType="end"/>
      </w:r>
      <w:r>
        <w:rPr>
          <w:lang w:val="en-US" w:eastAsia="zh-CN"/>
        </w:rPr>
        <w:t xml:space="preserve"> and take the lowest antenna gain across results from different companies, which is 7dB</w:t>
      </w:r>
    </w:p>
    <w:tbl>
      <w:tblPr>
        <w:tblW w:w="8172" w:type="dxa"/>
        <w:tblInd w:w="468" w:type="dxa"/>
        <w:tblCellMar>
          <w:left w:w="0" w:type="dxa"/>
          <w:right w:w="0" w:type="dxa"/>
        </w:tblCellMar>
        <w:tblLook w:val="04A0" w:firstRow="1" w:lastRow="0" w:firstColumn="1" w:lastColumn="0" w:noHBand="0" w:noVBand="1"/>
      </w:tblPr>
      <w:tblGrid>
        <w:gridCol w:w="2088"/>
        <w:gridCol w:w="996"/>
        <w:gridCol w:w="996"/>
        <w:gridCol w:w="1002"/>
        <w:gridCol w:w="1008"/>
        <w:gridCol w:w="1077"/>
        <w:gridCol w:w="1005"/>
      </w:tblGrid>
      <w:tr w:rsidR="00527CF6" w:rsidTr="00527CF6">
        <w:trPr>
          <w:trHeight w:val="360"/>
        </w:trPr>
        <w:tc>
          <w:tcPr>
            <w:tcW w:w="2088" w:type="dxa"/>
            <w:tcBorders>
              <w:top w:val="single" w:sz="8" w:space="0" w:color="FFFFFF"/>
              <w:left w:val="nil"/>
              <w:bottom w:val="single" w:sz="8" w:space="0" w:color="000000"/>
              <w:right w:val="single" w:sz="18" w:space="0" w:color="auto"/>
            </w:tcBorders>
            <w:tcMar>
              <w:top w:w="15" w:type="dxa"/>
              <w:left w:w="108" w:type="dxa"/>
              <w:bottom w:w="0" w:type="dxa"/>
              <w:right w:w="108" w:type="dxa"/>
            </w:tcMar>
            <w:vAlign w:val="center"/>
            <w:hideMark/>
          </w:tcPr>
          <w:p w:rsidR="00527CF6" w:rsidRDefault="00527CF6">
            <w:pPr>
              <w:rPr>
                <w:sz w:val="18"/>
                <w:szCs w:val="18"/>
              </w:rPr>
            </w:pPr>
            <w:r>
              <w:rPr>
                <w:sz w:val="18"/>
                <w:szCs w:val="18"/>
              </w:rPr>
              <w:t>28G</w:t>
            </w:r>
          </w:p>
        </w:tc>
        <w:tc>
          <w:tcPr>
            <w:tcW w:w="996" w:type="dxa"/>
            <w:tcBorders>
              <w:top w:val="single" w:sz="18" w:space="0" w:color="000000"/>
              <w:left w:val="single" w:sz="18" w:space="0" w:color="auto"/>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rFonts w:eastAsia="Calibri"/>
                <w:sz w:val="18"/>
                <w:szCs w:val="18"/>
                <w:lang w:eastAsia="en-GB"/>
              </w:rPr>
            </w:pPr>
            <w:r>
              <w:rPr>
                <w:b/>
                <w:bCs/>
                <w:sz w:val="18"/>
                <w:szCs w:val="18"/>
              </w:rPr>
              <w:t>Intel</w:t>
            </w:r>
          </w:p>
        </w:tc>
        <w:tc>
          <w:tcPr>
            <w:tcW w:w="996" w:type="dxa"/>
            <w:tcBorders>
              <w:top w:val="single" w:sz="1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rFonts w:ascii="Calibri" w:eastAsia="Times New Roman" w:hAnsi="Calibri"/>
                <w:sz w:val="18"/>
                <w:szCs w:val="18"/>
              </w:rPr>
            </w:pPr>
            <w:r>
              <w:rPr>
                <w:b/>
                <w:bCs/>
                <w:sz w:val="18"/>
                <w:szCs w:val="18"/>
              </w:rPr>
              <w:t>LGE</w:t>
            </w:r>
          </w:p>
        </w:tc>
        <w:tc>
          <w:tcPr>
            <w:tcW w:w="1002" w:type="dxa"/>
            <w:tcBorders>
              <w:top w:val="single" w:sz="1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b/>
                <w:bCs/>
                <w:sz w:val="18"/>
                <w:szCs w:val="18"/>
              </w:rPr>
              <w:t>Huawei</w:t>
            </w:r>
          </w:p>
        </w:tc>
        <w:tc>
          <w:tcPr>
            <w:tcW w:w="1008" w:type="dxa"/>
            <w:tcBorders>
              <w:top w:val="single" w:sz="1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b/>
                <w:bCs/>
                <w:sz w:val="18"/>
                <w:szCs w:val="18"/>
              </w:rPr>
              <w:t>MediaTek</w:t>
            </w:r>
          </w:p>
        </w:tc>
        <w:tc>
          <w:tcPr>
            <w:tcW w:w="1077" w:type="dxa"/>
            <w:tcBorders>
              <w:top w:val="single" w:sz="18" w:space="0" w:color="000000"/>
              <w:left w:val="nil"/>
              <w:bottom w:val="single" w:sz="8" w:space="0" w:color="000000"/>
              <w:right w:val="single" w:sz="18" w:space="0" w:color="auto"/>
            </w:tcBorders>
            <w:tcMar>
              <w:top w:w="15" w:type="dxa"/>
              <w:left w:w="108" w:type="dxa"/>
              <w:bottom w:w="0" w:type="dxa"/>
              <w:right w:w="108" w:type="dxa"/>
            </w:tcMar>
            <w:vAlign w:val="center"/>
            <w:hideMark/>
          </w:tcPr>
          <w:p w:rsidR="00527CF6" w:rsidRDefault="00527CF6">
            <w:pPr>
              <w:spacing w:line="252" w:lineRule="auto"/>
              <w:jc w:val="center"/>
              <w:rPr>
                <w:strike/>
                <w:sz w:val="18"/>
                <w:szCs w:val="18"/>
              </w:rPr>
            </w:pPr>
            <w:r>
              <w:rPr>
                <w:b/>
                <w:bCs/>
                <w:strike/>
                <w:sz w:val="18"/>
                <w:szCs w:val="18"/>
              </w:rPr>
              <w:t>Qualcomm (Plastic Packaging)</w:t>
            </w:r>
          </w:p>
        </w:tc>
        <w:tc>
          <w:tcPr>
            <w:tcW w:w="1005" w:type="dxa"/>
            <w:tcBorders>
              <w:top w:val="single" w:sz="18" w:space="0" w:color="000000"/>
              <w:left w:val="single" w:sz="18" w:space="0" w:color="auto"/>
              <w:bottom w:val="single" w:sz="8" w:space="0" w:color="000000"/>
              <w:right w:val="single" w:sz="18" w:space="0" w:color="auto"/>
            </w:tcBorders>
            <w:vAlign w:val="center"/>
            <w:hideMark/>
          </w:tcPr>
          <w:p w:rsidR="00527CF6" w:rsidRDefault="00527CF6">
            <w:pPr>
              <w:spacing w:line="252" w:lineRule="auto"/>
              <w:jc w:val="center"/>
              <w:rPr>
                <w:b/>
                <w:bCs/>
                <w:sz w:val="18"/>
                <w:szCs w:val="18"/>
                <w:highlight w:val="yellow"/>
              </w:rPr>
            </w:pPr>
            <w:r>
              <w:rPr>
                <w:b/>
                <w:bCs/>
                <w:sz w:val="18"/>
                <w:szCs w:val="18"/>
                <w:highlight w:val="yellow"/>
              </w:rPr>
              <w:t>Qualcomm</w:t>
            </w:r>
          </w:p>
          <w:p w:rsidR="00527CF6" w:rsidRDefault="00527CF6">
            <w:pPr>
              <w:spacing w:line="252" w:lineRule="auto"/>
              <w:jc w:val="center"/>
              <w:rPr>
                <w:b/>
                <w:bCs/>
                <w:sz w:val="18"/>
                <w:szCs w:val="18"/>
                <w:highlight w:val="yellow"/>
              </w:rPr>
            </w:pPr>
            <w:r>
              <w:rPr>
                <w:b/>
                <w:bCs/>
                <w:sz w:val="18"/>
                <w:szCs w:val="18"/>
                <w:highlight w:val="yellow"/>
              </w:rPr>
              <w:t>n257, n261</w:t>
            </w:r>
          </w:p>
          <w:p w:rsidR="00527CF6" w:rsidRDefault="00527CF6">
            <w:pPr>
              <w:spacing w:line="252" w:lineRule="auto"/>
              <w:jc w:val="center"/>
              <w:rPr>
                <w:b/>
                <w:bCs/>
                <w:sz w:val="18"/>
                <w:szCs w:val="18"/>
                <w:highlight w:val="yellow"/>
              </w:rPr>
            </w:pPr>
            <w:r>
              <w:rPr>
                <w:b/>
                <w:bCs/>
                <w:sz w:val="18"/>
                <w:szCs w:val="18"/>
                <w:highlight w:val="yellow"/>
              </w:rPr>
              <w:t>(Glass)</w:t>
            </w:r>
          </w:p>
        </w:tc>
      </w:tr>
      <w:tr w:rsidR="00527CF6" w:rsidTr="00527CF6">
        <w:trPr>
          <w:trHeight w:val="576"/>
        </w:trPr>
        <w:tc>
          <w:tcPr>
            <w:tcW w:w="2088" w:type="dxa"/>
            <w:tcBorders>
              <w:top w:val="nil"/>
              <w:left w:val="single" w:sz="18" w:space="0" w:color="auto"/>
              <w:bottom w:val="single" w:sz="8" w:space="0" w:color="000000"/>
              <w:right w:val="single" w:sz="18" w:space="0" w:color="auto"/>
            </w:tcBorders>
            <w:tcMar>
              <w:top w:w="15" w:type="dxa"/>
              <w:left w:w="108" w:type="dxa"/>
              <w:bottom w:w="0" w:type="dxa"/>
              <w:right w:w="108" w:type="dxa"/>
            </w:tcMar>
            <w:vAlign w:val="center"/>
            <w:hideMark/>
          </w:tcPr>
          <w:p w:rsidR="00527CF6" w:rsidRDefault="00527CF6">
            <w:pPr>
              <w:spacing w:line="252" w:lineRule="auto"/>
              <w:rPr>
                <w:sz w:val="18"/>
                <w:szCs w:val="18"/>
              </w:rPr>
            </w:pPr>
            <w:r>
              <w:rPr>
                <w:b/>
                <w:bCs/>
                <w:sz w:val="18"/>
                <w:szCs w:val="18"/>
              </w:rPr>
              <w:t>Effective realized antenna array gain [dB]</w:t>
            </w:r>
          </w:p>
        </w:tc>
        <w:tc>
          <w:tcPr>
            <w:tcW w:w="996" w:type="dxa"/>
            <w:tcBorders>
              <w:top w:val="nil"/>
              <w:left w:val="single" w:sz="18" w:space="0" w:color="auto"/>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8</w:t>
            </w:r>
          </w:p>
        </w:tc>
        <w:tc>
          <w:tcPr>
            <w:tcW w:w="99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10</w:t>
            </w:r>
          </w:p>
        </w:tc>
        <w:tc>
          <w:tcPr>
            <w:tcW w:w="1002"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9</w:t>
            </w:r>
          </w:p>
        </w:tc>
        <w:tc>
          <w:tcPr>
            <w:tcW w:w="100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7</w:t>
            </w:r>
          </w:p>
        </w:tc>
        <w:tc>
          <w:tcPr>
            <w:tcW w:w="1077" w:type="dxa"/>
            <w:tcBorders>
              <w:top w:val="nil"/>
              <w:left w:val="nil"/>
              <w:bottom w:val="single" w:sz="8" w:space="0" w:color="000000"/>
              <w:right w:val="single" w:sz="18" w:space="0" w:color="auto"/>
            </w:tcBorders>
            <w:tcMar>
              <w:top w:w="15" w:type="dxa"/>
              <w:left w:w="108" w:type="dxa"/>
              <w:bottom w:w="0" w:type="dxa"/>
              <w:right w:w="108" w:type="dxa"/>
            </w:tcMar>
            <w:vAlign w:val="center"/>
            <w:hideMark/>
          </w:tcPr>
          <w:p w:rsidR="00527CF6" w:rsidRDefault="00527CF6">
            <w:pPr>
              <w:spacing w:line="252" w:lineRule="auto"/>
              <w:jc w:val="center"/>
              <w:rPr>
                <w:strike/>
                <w:sz w:val="18"/>
                <w:szCs w:val="18"/>
              </w:rPr>
            </w:pPr>
            <w:r>
              <w:rPr>
                <w:strike/>
                <w:sz w:val="18"/>
                <w:szCs w:val="18"/>
              </w:rPr>
              <w:t>8.7</w:t>
            </w:r>
          </w:p>
        </w:tc>
        <w:tc>
          <w:tcPr>
            <w:tcW w:w="1005" w:type="dxa"/>
            <w:tcBorders>
              <w:top w:val="nil"/>
              <w:left w:val="single" w:sz="18" w:space="0" w:color="auto"/>
              <w:bottom w:val="single" w:sz="8" w:space="0" w:color="000000"/>
              <w:right w:val="single" w:sz="18" w:space="0" w:color="auto"/>
            </w:tcBorders>
            <w:vAlign w:val="center"/>
            <w:hideMark/>
          </w:tcPr>
          <w:p w:rsidR="00527CF6" w:rsidRDefault="00527CF6">
            <w:pPr>
              <w:spacing w:line="252" w:lineRule="auto"/>
              <w:jc w:val="center"/>
              <w:rPr>
                <w:sz w:val="18"/>
                <w:szCs w:val="18"/>
                <w:highlight w:val="yellow"/>
              </w:rPr>
            </w:pPr>
            <w:r>
              <w:rPr>
                <w:sz w:val="18"/>
                <w:szCs w:val="18"/>
                <w:highlight w:val="yellow"/>
              </w:rPr>
              <w:t>9.5</w:t>
            </w:r>
          </w:p>
        </w:tc>
      </w:tr>
      <w:tr w:rsidR="00527CF6" w:rsidTr="00527CF6">
        <w:trPr>
          <w:trHeight w:val="360"/>
        </w:trPr>
        <w:tc>
          <w:tcPr>
            <w:tcW w:w="2088" w:type="dxa"/>
            <w:tcBorders>
              <w:top w:val="nil"/>
              <w:left w:val="single" w:sz="18" w:space="0" w:color="auto"/>
              <w:bottom w:val="single" w:sz="8" w:space="0" w:color="000000"/>
              <w:right w:val="single" w:sz="18" w:space="0" w:color="auto"/>
            </w:tcBorders>
            <w:tcMar>
              <w:top w:w="15" w:type="dxa"/>
              <w:left w:w="108" w:type="dxa"/>
              <w:bottom w:w="0" w:type="dxa"/>
              <w:right w:w="108" w:type="dxa"/>
            </w:tcMar>
            <w:vAlign w:val="center"/>
            <w:hideMark/>
          </w:tcPr>
          <w:p w:rsidR="00527CF6" w:rsidRDefault="00527CF6">
            <w:pPr>
              <w:spacing w:line="252" w:lineRule="auto"/>
              <w:rPr>
                <w:sz w:val="18"/>
                <w:szCs w:val="18"/>
              </w:rPr>
            </w:pPr>
            <w:r>
              <w:rPr>
                <w:b/>
                <w:bCs/>
                <w:sz w:val="18"/>
                <w:szCs w:val="18"/>
              </w:rPr>
              <w:t>NF [dB]</w:t>
            </w:r>
          </w:p>
        </w:tc>
        <w:tc>
          <w:tcPr>
            <w:tcW w:w="996" w:type="dxa"/>
            <w:tcBorders>
              <w:top w:val="nil"/>
              <w:left w:val="single" w:sz="18" w:space="0" w:color="auto"/>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10</w:t>
            </w:r>
          </w:p>
        </w:tc>
        <w:tc>
          <w:tcPr>
            <w:tcW w:w="99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10</w:t>
            </w:r>
          </w:p>
        </w:tc>
        <w:tc>
          <w:tcPr>
            <w:tcW w:w="1002"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10</w:t>
            </w:r>
          </w:p>
        </w:tc>
        <w:tc>
          <w:tcPr>
            <w:tcW w:w="100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9</w:t>
            </w:r>
          </w:p>
        </w:tc>
        <w:tc>
          <w:tcPr>
            <w:tcW w:w="1077" w:type="dxa"/>
            <w:tcBorders>
              <w:top w:val="nil"/>
              <w:left w:val="nil"/>
              <w:bottom w:val="single" w:sz="8" w:space="0" w:color="000000"/>
              <w:right w:val="single" w:sz="18" w:space="0" w:color="auto"/>
            </w:tcBorders>
            <w:tcMar>
              <w:top w:w="15" w:type="dxa"/>
              <w:left w:w="108" w:type="dxa"/>
              <w:bottom w:w="0" w:type="dxa"/>
              <w:right w:w="108" w:type="dxa"/>
            </w:tcMar>
            <w:vAlign w:val="center"/>
            <w:hideMark/>
          </w:tcPr>
          <w:p w:rsidR="00527CF6" w:rsidRDefault="00527CF6">
            <w:pPr>
              <w:spacing w:line="252" w:lineRule="auto"/>
              <w:jc w:val="center"/>
              <w:rPr>
                <w:strike/>
                <w:sz w:val="18"/>
                <w:szCs w:val="18"/>
              </w:rPr>
            </w:pPr>
            <w:r>
              <w:rPr>
                <w:strike/>
                <w:sz w:val="18"/>
                <w:szCs w:val="18"/>
              </w:rPr>
              <w:t>10</w:t>
            </w:r>
          </w:p>
        </w:tc>
        <w:tc>
          <w:tcPr>
            <w:tcW w:w="1005" w:type="dxa"/>
            <w:tcBorders>
              <w:top w:val="nil"/>
              <w:left w:val="single" w:sz="18" w:space="0" w:color="auto"/>
              <w:bottom w:val="single" w:sz="8" w:space="0" w:color="000000"/>
              <w:right w:val="single" w:sz="18" w:space="0" w:color="auto"/>
            </w:tcBorders>
            <w:vAlign w:val="center"/>
            <w:hideMark/>
          </w:tcPr>
          <w:p w:rsidR="00527CF6" w:rsidRDefault="00527CF6">
            <w:pPr>
              <w:spacing w:line="252" w:lineRule="auto"/>
              <w:jc w:val="center"/>
              <w:rPr>
                <w:sz w:val="18"/>
                <w:szCs w:val="18"/>
                <w:highlight w:val="yellow"/>
              </w:rPr>
            </w:pPr>
            <w:r>
              <w:rPr>
                <w:sz w:val="18"/>
                <w:szCs w:val="18"/>
                <w:highlight w:val="yellow"/>
              </w:rPr>
              <w:t>10</w:t>
            </w:r>
          </w:p>
        </w:tc>
      </w:tr>
      <w:tr w:rsidR="00527CF6" w:rsidTr="00527CF6">
        <w:trPr>
          <w:trHeight w:val="576"/>
        </w:trPr>
        <w:tc>
          <w:tcPr>
            <w:tcW w:w="2088" w:type="dxa"/>
            <w:tcBorders>
              <w:top w:val="nil"/>
              <w:left w:val="single" w:sz="18" w:space="0" w:color="auto"/>
              <w:bottom w:val="single" w:sz="8" w:space="0" w:color="000000"/>
              <w:right w:val="single" w:sz="18" w:space="0" w:color="auto"/>
            </w:tcBorders>
            <w:tcMar>
              <w:top w:w="15" w:type="dxa"/>
              <w:left w:w="108" w:type="dxa"/>
              <w:bottom w:w="0" w:type="dxa"/>
              <w:right w:w="108" w:type="dxa"/>
            </w:tcMar>
            <w:vAlign w:val="center"/>
            <w:hideMark/>
          </w:tcPr>
          <w:p w:rsidR="00527CF6" w:rsidRDefault="00527CF6">
            <w:pPr>
              <w:spacing w:line="252" w:lineRule="auto"/>
              <w:rPr>
                <w:sz w:val="18"/>
                <w:szCs w:val="18"/>
              </w:rPr>
            </w:pPr>
            <w:r>
              <w:rPr>
                <w:b/>
                <w:bCs/>
                <w:sz w:val="18"/>
                <w:szCs w:val="18"/>
              </w:rPr>
              <w:t>Total implementation loss [dB]</w:t>
            </w:r>
          </w:p>
        </w:tc>
        <w:tc>
          <w:tcPr>
            <w:tcW w:w="996" w:type="dxa"/>
            <w:tcBorders>
              <w:top w:val="nil"/>
              <w:left w:val="single" w:sz="18" w:space="0" w:color="auto"/>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b/>
                <w:bCs/>
                <w:sz w:val="18"/>
                <w:szCs w:val="18"/>
              </w:rPr>
              <w:t>9.6</w:t>
            </w:r>
          </w:p>
        </w:tc>
        <w:tc>
          <w:tcPr>
            <w:tcW w:w="99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b/>
                <w:bCs/>
                <w:sz w:val="18"/>
                <w:szCs w:val="18"/>
              </w:rPr>
              <w:t>8.5</w:t>
            </w:r>
          </w:p>
        </w:tc>
        <w:tc>
          <w:tcPr>
            <w:tcW w:w="1002"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b/>
                <w:bCs/>
                <w:sz w:val="18"/>
                <w:szCs w:val="18"/>
              </w:rPr>
              <w:t>7</w:t>
            </w:r>
          </w:p>
        </w:tc>
        <w:tc>
          <w:tcPr>
            <w:tcW w:w="100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b/>
                <w:bCs/>
                <w:sz w:val="18"/>
                <w:szCs w:val="18"/>
              </w:rPr>
              <w:t>6.7</w:t>
            </w:r>
          </w:p>
        </w:tc>
        <w:tc>
          <w:tcPr>
            <w:tcW w:w="1077" w:type="dxa"/>
            <w:tcBorders>
              <w:top w:val="nil"/>
              <w:left w:val="nil"/>
              <w:bottom w:val="single" w:sz="8" w:space="0" w:color="000000"/>
              <w:right w:val="single" w:sz="18" w:space="0" w:color="auto"/>
            </w:tcBorders>
            <w:tcMar>
              <w:top w:w="15" w:type="dxa"/>
              <w:left w:w="108" w:type="dxa"/>
              <w:bottom w:w="0" w:type="dxa"/>
              <w:right w:w="108" w:type="dxa"/>
            </w:tcMar>
            <w:vAlign w:val="center"/>
            <w:hideMark/>
          </w:tcPr>
          <w:p w:rsidR="00527CF6" w:rsidRDefault="00527CF6">
            <w:pPr>
              <w:spacing w:line="252" w:lineRule="auto"/>
              <w:jc w:val="center"/>
              <w:rPr>
                <w:strike/>
                <w:sz w:val="18"/>
                <w:szCs w:val="18"/>
              </w:rPr>
            </w:pPr>
            <w:r>
              <w:rPr>
                <w:b/>
                <w:bCs/>
                <w:strike/>
                <w:sz w:val="18"/>
                <w:szCs w:val="18"/>
              </w:rPr>
              <w:t>4.6</w:t>
            </w:r>
          </w:p>
        </w:tc>
        <w:tc>
          <w:tcPr>
            <w:tcW w:w="1005" w:type="dxa"/>
            <w:tcBorders>
              <w:top w:val="nil"/>
              <w:left w:val="single" w:sz="18" w:space="0" w:color="auto"/>
              <w:bottom w:val="single" w:sz="8" w:space="0" w:color="000000"/>
              <w:right w:val="single" w:sz="18" w:space="0" w:color="auto"/>
            </w:tcBorders>
            <w:vAlign w:val="center"/>
            <w:hideMark/>
          </w:tcPr>
          <w:p w:rsidR="00527CF6" w:rsidRDefault="00527CF6">
            <w:pPr>
              <w:spacing w:line="252" w:lineRule="auto"/>
              <w:jc w:val="center"/>
              <w:rPr>
                <w:b/>
                <w:bCs/>
                <w:sz w:val="18"/>
                <w:szCs w:val="18"/>
                <w:highlight w:val="yellow"/>
              </w:rPr>
            </w:pPr>
            <w:r>
              <w:rPr>
                <w:b/>
                <w:bCs/>
                <w:sz w:val="18"/>
                <w:szCs w:val="18"/>
                <w:highlight w:val="yellow"/>
              </w:rPr>
              <w:t>8.0</w:t>
            </w:r>
          </w:p>
        </w:tc>
      </w:tr>
      <w:tr w:rsidR="00527CF6" w:rsidTr="00527CF6">
        <w:trPr>
          <w:trHeight w:val="360"/>
        </w:trPr>
        <w:tc>
          <w:tcPr>
            <w:tcW w:w="2088" w:type="dxa"/>
            <w:tcBorders>
              <w:top w:val="nil"/>
              <w:left w:val="single" w:sz="18" w:space="0" w:color="auto"/>
              <w:bottom w:val="single" w:sz="8" w:space="0" w:color="000000"/>
              <w:right w:val="single" w:sz="18" w:space="0" w:color="auto"/>
            </w:tcBorders>
            <w:tcMar>
              <w:top w:w="15" w:type="dxa"/>
              <w:left w:w="108" w:type="dxa"/>
              <w:bottom w:w="0" w:type="dxa"/>
              <w:right w:w="108" w:type="dxa"/>
            </w:tcMar>
            <w:vAlign w:val="center"/>
            <w:hideMark/>
          </w:tcPr>
          <w:p w:rsidR="00527CF6" w:rsidRDefault="00527CF6">
            <w:pPr>
              <w:spacing w:line="252" w:lineRule="auto"/>
              <w:rPr>
                <w:sz w:val="18"/>
                <w:szCs w:val="18"/>
              </w:rPr>
            </w:pPr>
            <w:r>
              <w:rPr>
                <w:b/>
                <w:bCs/>
                <w:sz w:val="18"/>
                <w:szCs w:val="18"/>
              </w:rPr>
              <w:t>Form factor de-sense (FFD)</w:t>
            </w:r>
          </w:p>
        </w:tc>
        <w:tc>
          <w:tcPr>
            <w:tcW w:w="996" w:type="dxa"/>
            <w:tcBorders>
              <w:top w:val="nil"/>
              <w:left w:val="single" w:sz="18" w:space="0" w:color="auto"/>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1</w:t>
            </w:r>
          </w:p>
        </w:tc>
        <w:tc>
          <w:tcPr>
            <w:tcW w:w="99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w:t>
            </w:r>
          </w:p>
        </w:tc>
        <w:tc>
          <w:tcPr>
            <w:tcW w:w="1002"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w:t>
            </w:r>
          </w:p>
        </w:tc>
        <w:tc>
          <w:tcPr>
            <w:tcW w:w="100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w:t>
            </w:r>
          </w:p>
        </w:tc>
        <w:tc>
          <w:tcPr>
            <w:tcW w:w="1077" w:type="dxa"/>
            <w:tcBorders>
              <w:top w:val="nil"/>
              <w:left w:val="nil"/>
              <w:bottom w:val="single" w:sz="8" w:space="0" w:color="000000"/>
              <w:right w:val="single" w:sz="18" w:space="0" w:color="auto"/>
            </w:tcBorders>
            <w:tcMar>
              <w:top w:w="15" w:type="dxa"/>
              <w:left w:w="108" w:type="dxa"/>
              <w:bottom w:w="0" w:type="dxa"/>
              <w:right w:w="108" w:type="dxa"/>
            </w:tcMar>
            <w:vAlign w:val="center"/>
            <w:hideMark/>
          </w:tcPr>
          <w:p w:rsidR="00527CF6" w:rsidRDefault="00527CF6">
            <w:pPr>
              <w:spacing w:line="252" w:lineRule="auto"/>
              <w:jc w:val="center"/>
              <w:rPr>
                <w:strike/>
                <w:sz w:val="18"/>
                <w:szCs w:val="18"/>
              </w:rPr>
            </w:pPr>
            <w:r>
              <w:rPr>
                <w:strike/>
                <w:sz w:val="18"/>
                <w:szCs w:val="18"/>
              </w:rPr>
              <w:t>-</w:t>
            </w:r>
          </w:p>
        </w:tc>
        <w:tc>
          <w:tcPr>
            <w:tcW w:w="1005" w:type="dxa"/>
            <w:tcBorders>
              <w:top w:val="nil"/>
              <w:left w:val="single" w:sz="18" w:space="0" w:color="auto"/>
              <w:bottom w:val="single" w:sz="8" w:space="0" w:color="000000"/>
              <w:right w:val="single" w:sz="18" w:space="0" w:color="auto"/>
            </w:tcBorders>
            <w:vAlign w:val="center"/>
            <w:hideMark/>
          </w:tcPr>
          <w:p w:rsidR="00527CF6" w:rsidRDefault="00527CF6">
            <w:pPr>
              <w:spacing w:line="252" w:lineRule="auto"/>
              <w:jc w:val="center"/>
              <w:rPr>
                <w:sz w:val="18"/>
                <w:szCs w:val="18"/>
                <w:highlight w:val="yellow"/>
              </w:rPr>
            </w:pPr>
            <w:r>
              <w:rPr>
                <w:sz w:val="18"/>
                <w:szCs w:val="18"/>
                <w:highlight w:val="yellow"/>
              </w:rPr>
              <w:t>-</w:t>
            </w:r>
          </w:p>
        </w:tc>
      </w:tr>
      <w:tr w:rsidR="00527CF6" w:rsidTr="00527CF6">
        <w:trPr>
          <w:trHeight w:val="360"/>
        </w:trPr>
        <w:tc>
          <w:tcPr>
            <w:tcW w:w="2088" w:type="dxa"/>
            <w:tcBorders>
              <w:top w:val="nil"/>
              <w:left w:val="single" w:sz="18" w:space="0" w:color="auto"/>
              <w:bottom w:val="single" w:sz="18" w:space="0" w:color="000000"/>
              <w:right w:val="single" w:sz="18" w:space="0" w:color="auto"/>
            </w:tcBorders>
            <w:tcMar>
              <w:top w:w="15" w:type="dxa"/>
              <w:left w:w="108" w:type="dxa"/>
              <w:bottom w:w="0" w:type="dxa"/>
              <w:right w:w="108" w:type="dxa"/>
            </w:tcMar>
            <w:vAlign w:val="center"/>
            <w:hideMark/>
          </w:tcPr>
          <w:p w:rsidR="00527CF6" w:rsidRDefault="00527CF6">
            <w:pPr>
              <w:spacing w:line="252" w:lineRule="auto"/>
              <w:rPr>
                <w:sz w:val="18"/>
                <w:szCs w:val="18"/>
              </w:rPr>
            </w:pPr>
            <w:r>
              <w:rPr>
                <w:b/>
                <w:bCs/>
                <w:sz w:val="18"/>
                <w:szCs w:val="18"/>
              </w:rPr>
              <w:t>Sensitivity EIS [dBm]</w:t>
            </w:r>
          </w:p>
        </w:tc>
        <w:tc>
          <w:tcPr>
            <w:tcW w:w="996" w:type="dxa"/>
            <w:tcBorders>
              <w:top w:val="nil"/>
              <w:left w:val="single" w:sz="18" w:space="0" w:color="auto"/>
              <w:bottom w:val="single" w:sz="1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b/>
                <w:bCs/>
                <w:color w:val="FF0000"/>
                <w:sz w:val="18"/>
                <w:szCs w:val="18"/>
              </w:rPr>
              <w:t>-85.41</w:t>
            </w:r>
          </w:p>
        </w:tc>
        <w:tc>
          <w:tcPr>
            <w:tcW w:w="996" w:type="dxa"/>
            <w:tcBorders>
              <w:top w:val="nil"/>
              <w:left w:val="nil"/>
              <w:bottom w:val="single" w:sz="1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b/>
                <w:bCs/>
                <w:sz w:val="18"/>
                <w:szCs w:val="18"/>
              </w:rPr>
              <w:t>-89.73</w:t>
            </w:r>
          </w:p>
        </w:tc>
        <w:tc>
          <w:tcPr>
            <w:tcW w:w="1002" w:type="dxa"/>
            <w:tcBorders>
              <w:top w:val="nil"/>
              <w:left w:val="nil"/>
              <w:bottom w:val="single" w:sz="1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b/>
                <w:bCs/>
                <w:sz w:val="18"/>
                <w:szCs w:val="18"/>
              </w:rPr>
              <w:t>-90.01</w:t>
            </w:r>
          </w:p>
        </w:tc>
        <w:tc>
          <w:tcPr>
            <w:tcW w:w="1008" w:type="dxa"/>
            <w:tcBorders>
              <w:top w:val="nil"/>
              <w:left w:val="nil"/>
              <w:bottom w:val="single" w:sz="1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b/>
                <w:bCs/>
                <w:sz w:val="18"/>
                <w:szCs w:val="18"/>
              </w:rPr>
              <w:t>-89.31</w:t>
            </w:r>
          </w:p>
        </w:tc>
        <w:tc>
          <w:tcPr>
            <w:tcW w:w="1077" w:type="dxa"/>
            <w:tcBorders>
              <w:top w:val="nil"/>
              <w:left w:val="nil"/>
              <w:bottom w:val="single" w:sz="18" w:space="0" w:color="000000"/>
              <w:right w:val="single" w:sz="18" w:space="0" w:color="auto"/>
            </w:tcBorders>
            <w:tcMar>
              <w:top w:w="15" w:type="dxa"/>
              <w:left w:w="108" w:type="dxa"/>
              <w:bottom w:w="0" w:type="dxa"/>
              <w:right w:w="108" w:type="dxa"/>
            </w:tcMar>
            <w:vAlign w:val="center"/>
            <w:hideMark/>
          </w:tcPr>
          <w:p w:rsidR="00527CF6" w:rsidRDefault="00527CF6">
            <w:pPr>
              <w:spacing w:line="252" w:lineRule="auto"/>
              <w:jc w:val="center"/>
              <w:rPr>
                <w:strike/>
                <w:sz w:val="18"/>
                <w:szCs w:val="18"/>
              </w:rPr>
            </w:pPr>
            <w:r>
              <w:rPr>
                <w:b/>
                <w:bCs/>
                <w:strike/>
                <w:sz w:val="18"/>
                <w:szCs w:val="18"/>
              </w:rPr>
              <w:t>-92.11</w:t>
            </w:r>
          </w:p>
        </w:tc>
        <w:tc>
          <w:tcPr>
            <w:tcW w:w="1005" w:type="dxa"/>
            <w:tcBorders>
              <w:top w:val="nil"/>
              <w:left w:val="single" w:sz="18" w:space="0" w:color="auto"/>
              <w:bottom w:val="single" w:sz="18" w:space="0" w:color="000000"/>
              <w:right w:val="single" w:sz="18" w:space="0" w:color="auto"/>
            </w:tcBorders>
            <w:vAlign w:val="center"/>
            <w:hideMark/>
          </w:tcPr>
          <w:p w:rsidR="00527CF6" w:rsidRDefault="00527CF6">
            <w:pPr>
              <w:spacing w:line="252" w:lineRule="auto"/>
              <w:jc w:val="center"/>
              <w:rPr>
                <w:b/>
                <w:bCs/>
                <w:sz w:val="18"/>
                <w:szCs w:val="18"/>
                <w:highlight w:val="yellow"/>
              </w:rPr>
            </w:pPr>
            <w:r>
              <w:rPr>
                <w:b/>
                <w:bCs/>
                <w:sz w:val="18"/>
                <w:szCs w:val="18"/>
                <w:highlight w:val="yellow"/>
              </w:rPr>
              <w:t>-89.3</w:t>
            </w:r>
          </w:p>
        </w:tc>
      </w:tr>
    </w:tbl>
    <w:p w:rsidR="00527CF6" w:rsidRDefault="00527CF6" w:rsidP="00527CF6">
      <w:pPr>
        <w:pStyle w:val="Caption"/>
        <w:keepNext/>
        <w:rPr>
          <w:sz w:val="24"/>
          <w:szCs w:val="24"/>
          <w:lang w:val="en-US"/>
        </w:rPr>
      </w:pPr>
    </w:p>
    <w:p w:rsidR="00527CF6" w:rsidRDefault="00527CF6" w:rsidP="00527CF6">
      <w:pPr>
        <w:jc w:val="center"/>
        <w:rPr>
          <w:sz w:val="22"/>
          <w:szCs w:val="22"/>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noProof/>
          <w:sz w:val="22"/>
          <w:szCs w:val="22"/>
        </w:rPr>
        <w:t>1</w:t>
      </w:r>
      <w:r>
        <w:rPr>
          <w:sz w:val="22"/>
          <w:szCs w:val="22"/>
        </w:rPr>
        <w:fldChar w:fldCharType="end"/>
      </w:r>
      <w:r>
        <w:rPr>
          <w:sz w:val="22"/>
          <w:szCs w:val="22"/>
        </w:rPr>
        <w:t xml:space="preserve"> EIS and Contributing Parameters for 28G</w:t>
      </w:r>
    </w:p>
    <w:p w:rsidR="00527CF6" w:rsidRDefault="00527CF6" w:rsidP="00527CF6">
      <w:pPr>
        <w:rPr>
          <w:sz w:val="24"/>
          <w:szCs w:val="24"/>
        </w:rPr>
      </w:pPr>
    </w:p>
    <w:p w:rsidR="00527CF6" w:rsidRDefault="00527CF6" w:rsidP="00527CF6">
      <w:pPr>
        <w:pStyle w:val="Caption"/>
        <w:keepNext/>
        <w:rPr>
          <w:b w:val="0"/>
          <w:sz w:val="22"/>
          <w:szCs w:val="22"/>
        </w:rPr>
      </w:pPr>
    </w:p>
    <w:tbl>
      <w:tblPr>
        <w:tblW w:w="8172" w:type="dxa"/>
        <w:tblInd w:w="468" w:type="dxa"/>
        <w:tblCellMar>
          <w:left w:w="0" w:type="dxa"/>
          <w:right w:w="0" w:type="dxa"/>
        </w:tblCellMar>
        <w:tblLook w:val="04A0" w:firstRow="1" w:lastRow="0" w:firstColumn="1" w:lastColumn="0" w:noHBand="0" w:noVBand="1"/>
      </w:tblPr>
      <w:tblGrid>
        <w:gridCol w:w="2088"/>
        <w:gridCol w:w="996"/>
        <w:gridCol w:w="996"/>
        <w:gridCol w:w="1002"/>
        <w:gridCol w:w="1008"/>
        <w:gridCol w:w="1077"/>
        <w:gridCol w:w="1005"/>
      </w:tblGrid>
      <w:tr w:rsidR="00527CF6" w:rsidTr="00527CF6">
        <w:trPr>
          <w:trHeight w:val="360"/>
        </w:trPr>
        <w:tc>
          <w:tcPr>
            <w:tcW w:w="2088" w:type="dxa"/>
            <w:tcBorders>
              <w:top w:val="single" w:sz="8" w:space="0" w:color="FFFFFF"/>
              <w:left w:val="nil"/>
              <w:bottom w:val="single" w:sz="8" w:space="0" w:color="000000"/>
              <w:right w:val="single" w:sz="18" w:space="0" w:color="auto"/>
            </w:tcBorders>
            <w:tcMar>
              <w:top w:w="15" w:type="dxa"/>
              <w:left w:w="108" w:type="dxa"/>
              <w:bottom w:w="0" w:type="dxa"/>
              <w:right w:w="108" w:type="dxa"/>
            </w:tcMar>
            <w:vAlign w:val="center"/>
            <w:hideMark/>
          </w:tcPr>
          <w:p w:rsidR="00527CF6" w:rsidRDefault="00527CF6">
            <w:pPr>
              <w:rPr>
                <w:sz w:val="18"/>
                <w:szCs w:val="18"/>
              </w:rPr>
            </w:pPr>
            <w:r>
              <w:rPr>
                <w:sz w:val="18"/>
                <w:szCs w:val="18"/>
              </w:rPr>
              <w:t>39G</w:t>
            </w:r>
          </w:p>
        </w:tc>
        <w:tc>
          <w:tcPr>
            <w:tcW w:w="996" w:type="dxa"/>
            <w:tcBorders>
              <w:top w:val="single" w:sz="18" w:space="0" w:color="000000"/>
              <w:left w:val="single" w:sz="18" w:space="0" w:color="auto"/>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rFonts w:eastAsia="Calibri"/>
                <w:sz w:val="18"/>
                <w:szCs w:val="18"/>
                <w:lang w:eastAsia="en-GB"/>
              </w:rPr>
            </w:pPr>
            <w:r>
              <w:rPr>
                <w:b/>
                <w:bCs/>
                <w:sz w:val="18"/>
                <w:szCs w:val="18"/>
              </w:rPr>
              <w:t>Intel</w:t>
            </w:r>
          </w:p>
        </w:tc>
        <w:tc>
          <w:tcPr>
            <w:tcW w:w="996" w:type="dxa"/>
            <w:tcBorders>
              <w:top w:val="single" w:sz="1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rFonts w:ascii="Calibri" w:eastAsia="Times New Roman" w:hAnsi="Calibri"/>
                <w:sz w:val="18"/>
                <w:szCs w:val="18"/>
              </w:rPr>
            </w:pPr>
            <w:r>
              <w:rPr>
                <w:b/>
                <w:bCs/>
                <w:sz w:val="18"/>
                <w:szCs w:val="18"/>
              </w:rPr>
              <w:t>LGE</w:t>
            </w:r>
          </w:p>
        </w:tc>
        <w:tc>
          <w:tcPr>
            <w:tcW w:w="1002" w:type="dxa"/>
            <w:tcBorders>
              <w:top w:val="single" w:sz="1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b/>
                <w:bCs/>
                <w:sz w:val="18"/>
                <w:szCs w:val="18"/>
              </w:rPr>
              <w:t>Huawei</w:t>
            </w:r>
          </w:p>
        </w:tc>
        <w:tc>
          <w:tcPr>
            <w:tcW w:w="1008" w:type="dxa"/>
            <w:tcBorders>
              <w:top w:val="single" w:sz="1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b/>
                <w:bCs/>
                <w:sz w:val="18"/>
                <w:szCs w:val="18"/>
              </w:rPr>
              <w:t>MediaTek</w:t>
            </w:r>
          </w:p>
        </w:tc>
        <w:tc>
          <w:tcPr>
            <w:tcW w:w="1077" w:type="dxa"/>
            <w:tcBorders>
              <w:top w:val="single" w:sz="18" w:space="0" w:color="000000"/>
              <w:left w:val="nil"/>
              <w:bottom w:val="single" w:sz="8" w:space="0" w:color="000000"/>
              <w:right w:val="single" w:sz="18" w:space="0" w:color="auto"/>
            </w:tcBorders>
            <w:tcMar>
              <w:top w:w="15" w:type="dxa"/>
              <w:left w:w="108" w:type="dxa"/>
              <w:bottom w:w="0" w:type="dxa"/>
              <w:right w:w="108" w:type="dxa"/>
            </w:tcMar>
            <w:vAlign w:val="center"/>
            <w:hideMark/>
          </w:tcPr>
          <w:p w:rsidR="00527CF6" w:rsidRDefault="00527CF6">
            <w:pPr>
              <w:spacing w:line="252" w:lineRule="auto"/>
              <w:jc w:val="center"/>
              <w:rPr>
                <w:strike/>
                <w:sz w:val="18"/>
                <w:szCs w:val="18"/>
              </w:rPr>
            </w:pPr>
            <w:r>
              <w:rPr>
                <w:b/>
                <w:bCs/>
                <w:strike/>
                <w:sz w:val="18"/>
                <w:szCs w:val="18"/>
              </w:rPr>
              <w:t>Qualcomm (Plastic Packaging)</w:t>
            </w:r>
          </w:p>
        </w:tc>
        <w:tc>
          <w:tcPr>
            <w:tcW w:w="1005" w:type="dxa"/>
            <w:tcBorders>
              <w:top w:val="single" w:sz="18" w:space="0" w:color="000000"/>
              <w:left w:val="single" w:sz="18" w:space="0" w:color="auto"/>
              <w:bottom w:val="single" w:sz="8" w:space="0" w:color="000000"/>
              <w:right w:val="single" w:sz="18" w:space="0" w:color="auto"/>
            </w:tcBorders>
            <w:vAlign w:val="center"/>
            <w:hideMark/>
          </w:tcPr>
          <w:p w:rsidR="00527CF6" w:rsidRDefault="00527CF6">
            <w:pPr>
              <w:spacing w:line="252" w:lineRule="auto"/>
              <w:jc w:val="center"/>
              <w:rPr>
                <w:b/>
                <w:bCs/>
                <w:sz w:val="18"/>
                <w:szCs w:val="18"/>
                <w:highlight w:val="yellow"/>
              </w:rPr>
            </w:pPr>
            <w:r>
              <w:rPr>
                <w:b/>
                <w:bCs/>
                <w:sz w:val="18"/>
                <w:szCs w:val="18"/>
                <w:highlight w:val="yellow"/>
              </w:rPr>
              <w:t>Qualcomm</w:t>
            </w:r>
          </w:p>
          <w:p w:rsidR="00527CF6" w:rsidRDefault="00527CF6">
            <w:pPr>
              <w:spacing w:line="252" w:lineRule="auto"/>
              <w:jc w:val="center"/>
              <w:rPr>
                <w:b/>
                <w:bCs/>
                <w:sz w:val="18"/>
                <w:szCs w:val="18"/>
                <w:highlight w:val="yellow"/>
              </w:rPr>
            </w:pPr>
            <w:r>
              <w:rPr>
                <w:b/>
                <w:bCs/>
                <w:sz w:val="18"/>
                <w:szCs w:val="18"/>
                <w:highlight w:val="yellow"/>
              </w:rPr>
              <w:t>n260</w:t>
            </w:r>
          </w:p>
          <w:p w:rsidR="00527CF6" w:rsidRDefault="00527CF6">
            <w:pPr>
              <w:spacing w:line="252" w:lineRule="auto"/>
              <w:jc w:val="center"/>
              <w:rPr>
                <w:b/>
                <w:bCs/>
                <w:sz w:val="18"/>
                <w:szCs w:val="18"/>
                <w:highlight w:val="yellow"/>
              </w:rPr>
            </w:pPr>
            <w:r>
              <w:rPr>
                <w:b/>
                <w:bCs/>
                <w:sz w:val="18"/>
                <w:szCs w:val="18"/>
                <w:highlight w:val="yellow"/>
              </w:rPr>
              <w:t>(Glass)</w:t>
            </w:r>
          </w:p>
        </w:tc>
      </w:tr>
      <w:tr w:rsidR="00527CF6" w:rsidTr="00527CF6">
        <w:trPr>
          <w:trHeight w:val="576"/>
        </w:trPr>
        <w:tc>
          <w:tcPr>
            <w:tcW w:w="2088" w:type="dxa"/>
            <w:tcBorders>
              <w:top w:val="nil"/>
              <w:left w:val="single" w:sz="18" w:space="0" w:color="auto"/>
              <w:bottom w:val="single" w:sz="8" w:space="0" w:color="000000"/>
              <w:right w:val="single" w:sz="18" w:space="0" w:color="auto"/>
            </w:tcBorders>
            <w:tcMar>
              <w:top w:w="15" w:type="dxa"/>
              <w:left w:w="108" w:type="dxa"/>
              <w:bottom w:w="0" w:type="dxa"/>
              <w:right w:w="108" w:type="dxa"/>
            </w:tcMar>
            <w:vAlign w:val="center"/>
            <w:hideMark/>
          </w:tcPr>
          <w:p w:rsidR="00527CF6" w:rsidRDefault="00527CF6">
            <w:pPr>
              <w:spacing w:line="252" w:lineRule="auto"/>
              <w:rPr>
                <w:sz w:val="18"/>
                <w:szCs w:val="18"/>
              </w:rPr>
            </w:pPr>
            <w:r>
              <w:rPr>
                <w:b/>
                <w:bCs/>
                <w:sz w:val="18"/>
                <w:szCs w:val="18"/>
              </w:rPr>
              <w:t>Effective realized antenna array gain [dB]</w:t>
            </w:r>
          </w:p>
        </w:tc>
        <w:tc>
          <w:tcPr>
            <w:tcW w:w="996" w:type="dxa"/>
            <w:tcBorders>
              <w:top w:val="nil"/>
              <w:left w:val="single" w:sz="18" w:space="0" w:color="auto"/>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7.5</w:t>
            </w:r>
          </w:p>
        </w:tc>
        <w:tc>
          <w:tcPr>
            <w:tcW w:w="99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9</w:t>
            </w:r>
          </w:p>
        </w:tc>
        <w:tc>
          <w:tcPr>
            <w:tcW w:w="1002"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9</w:t>
            </w:r>
          </w:p>
        </w:tc>
        <w:tc>
          <w:tcPr>
            <w:tcW w:w="100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8.5</w:t>
            </w:r>
          </w:p>
        </w:tc>
        <w:tc>
          <w:tcPr>
            <w:tcW w:w="1077" w:type="dxa"/>
            <w:tcBorders>
              <w:top w:val="nil"/>
              <w:left w:val="nil"/>
              <w:bottom w:val="single" w:sz="8" w:space="0" w:color="000000"/>
              <w:right w:val="single" w:sz="18" w:space="0" w:color="auto"/>
            </w:tcBorders>
            <w:tcMar>
              <w:top w:w="15" w:type="dxa"/>
              <w:left w:w="108" w:type="dxa"/>
              <w:bottom w:w="0" w:type="dxa"/>
              <w:right w:w="108" w:type="dxa"/>
            </w:tcMar>
            <w:vAlign w:val="center"/>
            <w:hideMark/>
          </w:tcPr>
          <w:p w:rsidR="00527CF6" w:rsidRDefault="00527CF6">
            <w:pPr>
              <w:spacing w:line="252" w:lineRule="auto"/>
              <w:jc w:val="center"/>
              <w:rPr>
                <w:strike/>
                <w:sz w:val="18"/>
                <w:szCs w:val="18"/>
              </w:rPr>
            </w:pPr>
            <w:r>
              <w:rPr>
                <w:strike/>
                <w:sz w:val="18"/>
                <w:szCs w:val="18"/>
              </w:rPr>
              <w:t>10.4</w:t>
            </w:r>
          </w:p>
        </w:tc>
        <w:tc>
          <w:tcPr>
            <w:tcW w:w="1005" w:type="dxa"/>
            <w:tcBorders>
              <w:top w:val="nil"/>
              <w:left w:val="single" w:sz="18" w:space="0" w:color="auto"/>
              <w:bottom w:val="single" w:sz="8" w:space="0" w:color="000000"/>
              <w:right w:val="single" w:sz="18" w:space="0" w:color="auto"/>
            </w:tcBorders>
            <w:vAlign w:val="center"/>
            <w:hideMark/>
          </w:tcPr>
          <w:p w:rsidR="00527CF6" w:rsidRDefault="00527CF6">
            <w:pPr>
              <w:spacing w:line="252" w:lineRule="auto"/>
              <w:jc w:val="center"/>
              <w:rPr>
                <w:sz w:val="18"/>
                <w:szCs w:val="18"/>
                <w:highlight w:val="yellow"/>
              </w:rPr>
            </w:pPr>
            <w:r>
              <w:rPr>
                <w:sz w:val="18"/>
                <w:szCs w:val="18"/>
                <w:highlight w:val="yellow"/>
              </w:rPr>
              <w:t>10.5</w:t>
            </w:r>
          </w:p>
        </w:tc>
      </w:tr>
      <w:tr w:rsidR="00527CF6" w:rsidTr="00527CF6">
        <w:trPr>
          <w:trHeight w:val="360"/>
        </w:trPr>
        <w:tc>
          <w:tcPr>
            <w:tcW w:w="2088" w:type="dxa"/>
            <w:tcBorders>
              <w:top w:val="nil"/>
              <w:left w:val="single" w:sz="18" w:space="0" w:color="auto"/>
              <w:bottom w:val="single" w:sz="8" w:space="0" w:color="000000"/>
              <w:right w:val="single" w:sz="18" w:space="0" w:color="auto"/>
            </w:tcBorders>
            <w:tcMar>
              <w:top w:w="15" w:type="dxa"/>
              <w:left w:w="108" w:type="dxa"/>
              <w:bottom w:w="0" w:type="dxa"/>
              <w:right w:w="108" w:type="dxa"/>
            </w:tcMar>
            <w:vAlign w:val="center"/>
            <w:hideMark/>
          </w:tcPr>
          <w:p w:rsidR="00527CF6" w:rsidRDefault="00527CF6">
            <w:pPr>
              <w:spacing w:line="252" w:lineRule="auto"/>
              <w:rPr>
                <w:sz w:val="18"/>
                <w:szCs w:val="18"/>
              </w:rPr>
            </w:pPr>
            <w:r>
              <w:rPr>
                <w:b/>
                <w:bCs/>
                <w:sz w:val="18"/>
                <w:szCs w:val="18"/>
              </w:rPr>
              <w:t>NF [dB]</w:t>
            </w:r>
          </w:p>
        </w:tc>
        <w:tc>
          <w:tcPr>
            <w:tcW w:w="996" w:type="dxa"/>
            <w:tcBorders>
              <w:top w:val="nil"/>
              <w:left w:val="single" w:sz="18" w:space="0" w:color="auto"/>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11</w:t>
            </w:r>
          </w:p>
        </w:tc>
        <w:tc>
          <w:tcPr>
            <w:tcW w:w="99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11</w:t>
            </w:r>
          </w:p>
        </w:tc>
        <w:tc>
          <w:tcPr>
            <w:tcW w:w="1002"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12</w:t>
            </w:r>
          </w:p>
        </w:tc>
        <w:tc>
          <w:tcPr>
            <w:tcW w:w="100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10.5</w:t>
            </w:r>
          </w:p>
        </w:tc>
        <w:tc>
          <w:tcPr>
            <w:tcW w:w="1077" w:type="dxa"/>
            <w:tcBorders>
              <w:top w:val="nil"/>
              <w:left w:val="nil"/>
              <w:bottom w:val="single" w:sz="8" w:space="0" w:color="000000"/>
              <w:right w:val="single" w:sz="18" w:space="0" w:color="auto"/>
            </w:tcBorders>
            <w:tcMar>
              <w:top w:w="15" w:type="dxa"/>
              <w:left w:w="108" w:type="dxa"/>
              <w:bottom w:w="0" w:type="dxa"/>
              <w:right w:w="108" w:type="dxa"/>
            </w:tcMar>
            <w:vAlign w:val="center"/>
            <w:hideMark/>
          </w:tcPr>
          <w:p w:rsidR="00527CF6" w:rsidRDefault="00527CF6">
            <w:pPr>
              <w:spacing w:line="252" w:lineRule="auto"/>
              <w:jc w:val="center"/>
              <w:rPr>
                <w:strike/>
                <w:sz w:val="18"/>
                <w:szCs w:val="18"/>
              </w:rPr>
            </w:pPr>
            <w:r>
              <w:rPr>
                <w:strike/>
                <w:sz w:val="18"/>
                <w:szCs w:val="18"/>
              </w:rPr>
              <w:t>11.6</w:t>
            </w:r>
          </w:p>
        </w:tc>
        <w:tc>
          <w:tcPr>
            <w:tcW w:w="1005" w:type="dxa"/>
            <w:tcBorders>
              <w:top w:val="nil"/>
              <w:left w:val="single" w:sz="18" w:space="0" w:color="auto"/>
              <w:bottom w:val="single" w:sz="8" w:space="0" w:color="000000"/>
              <w:right w:val="single" w:sz="18" w:space="0" w:color="auto"/>
            </w:tcBorders>
            <w:vAlign w:val="center"/>
            <w:hideMark/>
          </w:tcPr>
          <w:p w:rsidR="00527CF6" w:rsidRDefault="00527CF6">
            <w:pPr>
              <w:spacing w:line="252" w:lineRule="auto"/>
              <w:jc w:val="center"/>
              <w:rPr>
                <w:sz w:val="18"/>
                <w:szCs w:val="18"/>
                <w:highlight w:val="yellow"/>
              </w:rPr>
            </w:pPr>
            <w:r>
              <w:rPr>
                <w:sz w:val="18"/>
                <w:szCs w:val="18"/>
                <w:highlight w:val="yellow"/>
              </w:rPr>
              <w:t>11.6</w:t>
            </w:r>
          </w:p>
        </w:tc>
      </w:tr>
      <w:tr w:rsidR="00527CF6" w:rsidTr="00527CF6">
        <w:trPr>
          <w:trHeight w:val="576"/>
        </w:trPr>
        <w:tc>
          <w:tcPr>
            <w:tcW w:w="2088" w:type="dxa"/>
            <w:tcBorders>
              <w:top w:val="nil"/>
              <w:left w:val="single" w:sz="18" w:space="0" w:color="auto"/>
              <w:bottom w:val="single" w:sz="8" w:space="0" w:color="000000"/>
              <w:right w:val="single" w:sz="18" w:space="0" w:color="auto"/>
            </w:tcBorders>
            <w:tcMar>
              <w:top w:w="15" w:type="dxa"/>
              <w:left w:w="108" w:type="dxa"/>
              <w:bottom w:w="0" w:type="dxa"/>
              <w:right w:w="108" w:type="dxa"/>
            </w:tcMar>
            <w:vAlign w:val="center"/>
            <w:hideMark/>
          </w:tcPr>
          <w:p w:rsidR="00527CF6" w:rsidRDefault="00527CF6">
            <w:pPr>
              <w:spacing w:line="252" w:lineRule="auto"/>
              <w:rPr>
                <w:sz w:val="18"/>
                <w:szCs w:val="18"/>
              </w:rPr>
            </w:pPr>
            <w:r>
              <w:rPr>
                <w:b/>
                <w:bCs/>
                <w:sz w:val="18"/>
                <w:szCs w:val="18"/>
              </w:rPr>
              <w:lastRenderedPageBreak/>
              <w:t>Total implementation loss [dB]</w:t>
            </w:r>
          </w:p>
        </w:tc>
        <w:tc>
          <w:tcPr>
            <w:tcW w:w="996" w:type="dxa"/>
            <w:tcBorders>
              <w:top w:val="nil"/>
              <w:left w:val="single" w:sz="18" w:space="0" w:color="auto"/>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b/>
                <w:bCs/>
                <w:sz w:val="18"/>
                <w:szCs w:val="18"/>
              </w:rPr>
              <w:t>10.9</w:t>
            </w:r>
          </w:p>
        </w:tc>
        <w:tc>
          <w:tcPr>
            <w:tcW w:w="99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b/>
                <w:bCs/>
                <w:sz w:val="18"/>
                <w:szCs w:val="18"/>
              </w:rPr>
              <w:t>9.5</w:t>
            </w:r>
          </w:p>
        </w:tc>
        <w:tc>
          <w:tcPr>
            <w:tcW w:w="1002"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b/>
                <w:bCs/>
                <w:sz w:val="18"/>
                <w:szCs w:val="18"/>
              </w:rPr>
              <w:t>8</w:t>
            </w:r>
          </w:p>
        </w:tc>
        <w:tc>
          <w:tcPr>
            <w:tcW w:w="100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b/>
                <w:bCs/>
                <w:sz w:val="18"/>
                <w:szCs w:val="18"/>
              </w:rPr>
              <w:t>7.7</w:t>
            </w:r>
          </w:p>
        </w:tc>
        <w:tc>
          <w:tcPr>
            <w:tcW w:w="1077" w:type="dxa"/>
            <w:tcBorders>
              <w:top w:val="nil"/>
              <w:left w:val="nil"/>
              <w:bottom w:val="single" w:sz="8" w:space="0" w:color="000000"/>
              <w:right w:val="single" w:sz="18" w:space="0" w:color="auto"/>
            </w:tcBorders>
            <w:tcMar>
              <w:top w:w="15" w:type="dxa"/>
              <w:left w:w="108" w:type="dxa"/>
              <w:bottom w:w="0" w:type="dxa"/>
              <w:right w:w="108" w:type="dxa"/>
            </w:tcMar>
            <w:vAlign w:val="center"/>
            <w:hideMark/>
          </w:tcPr>
          <w:p w:rsidR="00527CF6" w:rsidRDefault="00527CF6">
            <w:pPr>
              <w:spacing w:line="252" w:lineRule="auto"/>
              <w:jc w:val="center"/>
              <w:rPr>
                <w:strike/>
                <w:sz w:val="18"/>
                <w:szCs w:val="18"/>
              </w:rPr>
            </w:pPr>
            <w:r>
              <w:rPr>
                <w:b/>
                <w:bCs/>
                <w:strike/>
                <w:sz w:val="18"/>
                <w:szCs w:val="18"/>
              </w:rPr>
              <w:t>5.0</w:t>
            </w:r>
          </w:p>
        </w:tc>
        <w:tc>
          <w:tcPr>
            <w:tcW w:w="1005" w:type="dxa"/>
            <w:tcBorders>
              <w:top w:val="nil"/>
              <w:left w:val="single" w:sz="18" w:space="0" w:color="auto"/>
              <w:bottom w:val="single" w:sz="8" w:space="0" w:color="000000"/>
              <w:right w:val="single" w:sz="18" w:space="0" w:color="auto"/>
            </w:tcBorders>
            <w:vAlign w:val="center"/>
            <w:hideMark/>
          </w:tcPr>
          <w:p w:rsidR="00527CF6" w:rsidRDefault="00527CF6">
            <w:pPr>
              <w:spacing w:line="252" w:lineRule="auto"/>
              <w:jc w:val="center"/>
              <w:rPr>
                <w:b/>
                <w:bCs/>
                <w:sz w:val="18"/>
                <w:szCs w:val="18"/>
                <w:highlight w:val="yellow"/>
              </w:rPr>
            </w:pPr>
            <w:r>
              <w:rPr>
                <w:b/>
                <w:bCs/>
                <w:sz w:val="18"/>
                <w:szCs w:val="18"/>
                <w:highlight w:val="yellow"/>
              </w:rPr>
              <w:t>8.4</w:t>
            </w:r>
          </w:p>
        </w:tc>
      </w:tr>
      <w:tr w:rsidR="00527CF6" w:rsidTr="00527CF6">
        <w:trPr>
          <w:trHeight w:val="360"/>
        </w:trPr>
        <w:tc>
          <w:tcPr>
            <w:tcW w:w="2088" w:type="dxa"/>
            <w:tcBorders>
              <w:top w:val="nil"/>
              <w:left w:val="single" w:sz="18" w:space="0" w:color="auto"/>
              <w:bottom w:val="single" w:sz="8" w:space="0" w:color="000000"/>
              <w:right w:val="single" w:sz="18" w:space="0" w:color="auto"/>
            </w:tcBorders>
            <w:tcMar>
              <w:top w:w="15" w:type="dxa"/>
              <w:left w:w="108" w:type="dxa"/>
              <w:bottom w:w="0" w:type="dxa"/>
              <w:right w:w="108" w:type="dxa"/>
            </w:tcMar>
            <w:vAlign w:val="center"/>
            <w:hideMark/>
          </w:tcPr>
          <w:p w:rsidR="00527CF6" w:rsidRDefault="00527CF6">
            <w:pPr>
              <w:spacing w:line="252" w:lineRule="auto"/>
              <w:rPr>
                <w:sz w:val="18"/>
                <w:szCs w:val="18"/>
              </w:rPr>
            </w:pPr>
            <w:r>
              <w:rPr>
                <w:b/>
                <w:bCs/>
                <w:sz w:val="18"/>
                <w:szCs w:val="18"/>
              </w:rPr>
              <w:t>Form factor de-sense (FFD)</w:t>
            </w:r>
          </w:p>
        </w:tc>
        <w:tc>
          <w:tcPr>
            <w:tcW w:w="996" w:type="dxa"/>
            <w:tcBorders>
              <w:top w:val="nil"/>
              <w:left w:val="single" w:sz="18" w:space="0" w:color="auto"/>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1</w:t>
            </w:r>
          </w:p>
        </w:tc>
        <w:tc>
          <w:tcPr>
            <w:tcW w:w="99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w:t>
            </w:r>
          </w:p>
        </w:tc>
        <w:tc>
          <w:tcPr>
            <w:tcW w:w="1002"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w:t>
            </w:r>
          </w:p>
        </w:tc>
        <w:tc>
          <w:tcPr>
            <w:tcW w:w="100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sz w:val="18"/>
                <w:szCs w:val="18"/>
              </w:rPr>
              <w:t>-</w:t>
            </w:r>
          </w:p>
        </w:tc>
        <w:tc>
          <w:tcPr>
            <w:tcW w:w="1077" w:type="dxa"/>
            <w:tcBorders>
              <w:top w:val="nil"/>
              <w:left w:val="nil"/>
              <w:bottom w:val="single" w:sz="8" w:space="0" w:color="000000"/>
              <w:right w:val="single" w:sz="18" w:space="0" w:color="auto"/>
            </w:tcBorders>
            <w:tcMar>
              <w:top w:w="15" w:type="dxa"/>
              <w:left w:w="108" w:type="dxa"/>
              <w:bottom w:w="0" w:type="dxa"/>
              <w:right w:w="108" w:type="dxa"/>
            </w:tcMar>
            <w:vAlign w:val="center"/>
            <w:hideMark/>
          </w:tcPr>
          <w:p w:rsidR="00527CF6" w:rsidRDefault="00527CF6">
            <w:pPr>
              <w:spacing w:line="252" w:lineRule="auto"/>
              <w:jc w:val="center"/>
              <w:rPr>
                <w:strike/>
                <w:sz w:val="18"/>
                <w:szCs w:val="18"/>
              </w:rPr>
            </w:pPr>
            <w:r>
              <w:rPr>
                <w:strike/>
                <w:sz w:val="18"/>
                <w:szCs w:val="18"/>
              </w:rPr>
              <w:t>-</w:t>
            </w:r>
          </w:p>
        </w:tc>
        <w:tc>
          <w:tcPr>
            <w:tcW w:w="1005" w:type="dxa"/>
            <w:tcBorders>
              <w:top w:val="nil"/>
              <w:left w:val="single" w:sz="18" w:space="0" w:color="auto"/>
              <w:bottom w:val="single" w:sz="8" w:space="0" w:color="000000"/>
              <w:right w:val="single" w:sz="18" w:space="0" w:color="auto"/>
            </w:tcBorders>
            <w:vAlign w:val="center"/>
            <w:hideMark/>
          </w:tcPr>
          <w:p w:rsidR="00527CF6" w:rsidRDefault="00527CF6">
            <w:pPr>
              <w:spacing w:line="252" w:lineRule="auto"/>
              <w:jc w:val="center"/>
              <w:rPr>
                <w:sz w:val="18"/>
                <w:szCs w:val="18"/>
                <w:highlight w:val="yellow"/>
              </w:rPr>
            </w:pPr>
            <w:r>
              <w:rPr>
                <w:sz w:val="18"/>
                <w:szCs w:val="18"/>
                <w:highlight w:val="yellow"/>
              </w:rPr>
              <w:t>-</w:t>
            </w:r>
          </w:p>
        </w:tc>
      </w:tr>
      <w:tr w:rsidR="00527CF6" w:rsidTr="00527CF6">
        <w:trPr>
          <w:trHeight w:val="360"/>
        </w:trPr>
        <w:tc>
          <w:tcPr>
            <w:tcW w:w="2088" w:type="dxa"/>
            <w:tcBorders>
              <w:top w:val="nil"/>
              <w:left w:val="single" w:sz="18" w:space="0" w:color="auto"/>
              <w:bottom w:val="single" w:sz="18" w:space="0" w:color="000000"/>
              <w:right w:val="single" w:sz="18" w:space="0" w:color="auto"/>
            </w:tcBorders>
            <w:tcMar>
              <w:top w:w="15" w:type="dxa"/>
              <w:left w:w="108" w:type="dxa"/>
              <w:bottom w:w="0" w:type="dxa"/>
              <w:right w:w="108" w:type="dxa"/>
            </w:tcMar>
            <w:vAlign w:val="center"/>
            <w:hideMark/>
          </w:tcPr>
          <w:p w:rsidR="00527CF6" w:rsidRDefault="00527CF6">
            <w:pPr>
              <w:spacing w:line="252" w:lineRule="auto"/>
              <w:rPr>
                <w:sz w:val="18"/>
                <w:szCs w:val="18"/>
              </w:rPr>
            </w:pPr>
            <w:r>
              <w:rPr>
                <w:b/>
                <w:bCs/>
                <w:sz w:val="18"/>
                <w:szCs w:val="18"/>
              </w:rPr>
              <w:t>Sensitivity EIS [dBm]</w:t>
            </w:r>
          </w:p>
        </w:tc>
        <w:tc>
          <w:tcPr>
            <w:tcW w:w="996" w:type="dxa"/>
            <w:tcBorders>
              <w:top w:val="nil"/>
              <w:left w:val="single" w:sz="18" w:space="0" w:color="auto"/>
              <w:bottom w:val="single" w:sz="1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b/>
                <w:bCs/>
                <w:color w:val="FF0000"/>
                <w:sz w:val="18"/>
                <w:szCs w:val="18"/>
              </w:rPr>
              <w:t>-82.61</w:t>
            </w:r>
          </w:p>
        </w:tc>
        <w:tc>
          <w:tcPr>
            <w:tcW w:w="996" w:type="dxa"/>
            <w:tcBorders>
              <w:top w:val="nil"/>
              <w:left w:val="nil"/>
              <w:bottom w:val="single" w:sz="1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b/>
                <w:bCs/>
                <w:sz w:val="18"/>
                <w:szCs w:val="18"/>
              </w:rPr>
              <w:t>-86.73</w:t>
            </w:r>
          </w:p>
        </w:tc>
        <w:tc>
          <w:tcPr>
            <w:tcW w:w="1002" w:type="dxa"/>
            <w:tcBorders>
              <w:top w:val="nil"/>
              <w:left w:val="nil"/>
              <w:bottom w:val="single" w:sz="1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b/>
                <w:bCs/>
                <w:sz w:val="18"/>
                <w:szCs w:val="18"/>
              </w:rPr>
              <w:t>-87.01</w:t>
            </w:r>
          </w:p>
        </w:tc>
        <w:tc>
          <w:tcPr>
            <w:tcW w:w="1008" w:type="dxa"/>
            <w:tcBorders>
              <w:top w:val="nil"/>
              <w:left w:val="nil"/>
              <w:bottom w:val="single" w:sz="18" w:space="0" w:color="000000"/>
              <w:right w:val="single" w:sz="8" w:space="0" w:color="000000"/>
            </w:tcBorders>
            <w:tcMar>
              <w:top w:w="15" w:type="dxa"/>
              <w:left w:w="108" w:type="dxa"/>
              <w:bottom w:w="0" w:type="dxa"/>
              <w:right w:w="108" w:type="dxa"/>
            </w:tcMar>
            <w:vAlign w:val="center"/>
            <w:hideMark/>
          </w:tcPr>
          <w:p w:rsidR="00527CF6" w:rsidRDefault="00527CF6">
            <w:pPr>
              <w:spacing w:line="252" w:lineRule="auto"/>
              <w:jc w:val="center"/>
              <w:rPr>
                <w:sz w:val="18"/>
                <w:szCs w:val="18"/>
              </w:rPr>
            </w:pPr>
            <w:r>
              <w:rPr>
                <w:b/>
                <w:bCs/>
                <w:sz w:val="18"/>
                <w:szCs w:val="18"/>
              </w:rPr>
              <w:t>-88.31</w:t>
            </w:r>
          </w:p>
        </w:tc>
        <w:tc>
          <w:tcPr>
            <w:tcW w:w="1077" w:type="dxa"/>
            <w:tcBorders>
              <w:top w:val="nil"/>
              <w:left w:val="nil"/>
              <w:bottom w:val="single" w:sz="18" w:space="0" w:color="000000"/>
              <w:right w:val="single" w:sz="18" w:space="0" w:color="auto"/>
            </w:tcBorders>
            <w:tcMar>
              <w:top w:w="15" w:type="dxa"/>
              <w:left w:w="108" w:type="dxa"/>
              <w:bottom w:w="0" w:type="dxa"/>
              <w:right w:w="108" w:type="dxa"/>
            </w:tcMar>
            <w:vAlign w:val="center"/>
            <w:hideMark/>
          </w:tcPr>
          <w:p w:rsidR="00527CF6" w:rsidRDefault="00527CF6">
            <w:pPr>
              <w:spacing w:line="252" w:lineRule="auto"/>
              <w:jc w:val="center"/>
              <w:rPr>
                <w:strike/>
                <w:sz w:val="18"/>
                <w:szCs w:val="18"/>
              </w:rPr>
            </w:pPr>
            <w:r>
              <w:rPr>
                <w:b/>
                <w:bCs/>
                <w:strike/>
                <w:sz w:val="18"/>
                <w:szCs w:val="18"/>
              </w:rPr>
              <w:t>-91.81</w:t>
            </w:r>
          </w:p>
        </w:tc>
        <w:tc>
          <w:tcPr>
            <w:tcW w:w="1005" w:type="dxa"/>
            <w:tcBorders>
              <w:top w:val="nil"/>
              <w:left w:val="single" w:sz="18" w:space="0" w:color="auto"/>
              <w:bottom w:val="single" w:sz="18" w:space="0" w:color="000000"/>
              <w:right w:val="single" w:sz="18" w:space="0" w:color="auto"/>
            </w:tcBorders>
            <w:vAlign w:val="center"/>
            <w:hideMark/>
          </w:tcPr>
          <w:p w:rsidR="00527CF6" w:rsidRDefault="00527CF6">
            <w:pPr>
              <w:spacing w:line="252" w:lineRule="auto"/>
              <w:jc w:val="center"/>
              <w:rPr>
                <w:b/>
                <w:bCs/>
                <w:sz w:val="18"/>
                <w:szCs w:val="18"/>
                <w:highlight w:val="yellow"/>
              </w:rPr>
            </w:pPr>
            <w:r>
              <w:rPr>
                <w:b/>
                <w:bCs/>
                <w:sz w:val="18"/>
                <w:szCs w:val="18"/>
                <w:highlight w:val="yellow"/>
              </w:rPr>
              <w:t>-88.3</w:t>
            </w:r>
          </w:p>
        </w:tc>
      </w:tr>
    </w:tbl>
    <w:p w:rsidR="00527CF6" w:rsidRDefault="00527CF6" w:rsidP="00527CF6">
      <w:pPr>
        <w:rPr>
          <w:sz w:val="22"/>
          <w:szCs w:val="22"/>
          <w:lang w:val="en-US"/>
        </w:rPr>
      </w:pPr>
    </w:p>
    <w:p w:rsidR="00527CF6" w:rsidRDefault="00527CF6" w:rsidP="00527CF6">
      <w:pPr>
        <w:pStyle w:val="Caption"/>
        <w:keepNext/>
        <w:jc w:val="center"/>
        <w:rPr>
          <w:b w:val="0"/>
          <w:sz w:val="22"/>
          <w:szCs w:val="22"/>
        </w:rPr>
      </w:pPr>
      <w:r>
        <w:rPr>
          <w:b w:val="0"/>
          <w:sz w:val="22"/>
          <w:szCs w:val="22"/>
        </w:rPr>
        <w:t>Table 2 EIS and Contributing Parameters for 39G</w:t>
      </w:r>
    </w:p>
    <w:p w:rsidR="00527CF6" w:rsidRDefault="00527CF6" w:rsidP="00BF72C0">
      <w:pPr>
        <w:rPr>
          <w:b/>
          <w:lang w:val="en-US" w:eastAsia="zh-CN"/>
        </w:rPr>
      </w:pPr>
      <w:r w:rsidRPr="00527CF6">
        <w:rPr>
          <w:b/>
          <w:lang w:val="en-US" w:eastAsia="zh-CN"/>
        </w:rPr>
        <w:t>Proposal</w:t>
      </w:r>
      <w:r>
        <w:rPr>
          <w:b/>
          <w:lang w:val="en-US" w:eastAsia="zh-CN"/>
        </w:rPr>
        <w:t xml:space="preserve"> 6: The minimum antenna gain for fine beams is 7dB</w:t>
      </w:r>
      <w:r w:rsidR="004D46C5">
        <w:rPr>
          <w:b/>
          <w:lang w:val="en-US" w:eastAsia="zh-CN"/>
        </w:rPr>
        <w:t>i</w:t>
      </w:r>
    </w:p>
    <w:p w:rsidR="00527CF6" w:rsidRDefault="00527CF6" w:rsidP="00527CF6">
      <w:pPr>
        <w:pStyle w:val="Heading3"/>
        <w:rPr>
          <w:lang w:val="en-US" w:eastAsia="zh-CN"/>
        </w:rPr>
      </w:pPr>
      <w:r>
        <w:rPr>
          <w:lang w:val="en-US" w:eastAsia="zh-CN"/>
        </w:rPr>
        <w:t>Rough beam, minimum antenna gain</w:t>
      </w:r>
    </w:p>
    <w:p w:rsidR="00527CF6" w:rsidRDefault="00527CF6" w:rsidP="00527CF6">
      <w:pPr>
        <w:rPr>
          <w:lang w:val="en-US" w:eastAsia="zh-CN"/>
        </w:rPr>
      </w:pPr>
      <w:r>
        <w:rPr>
          <w:lang w:val="en-US" w:eastAsia="zh-CN"/>
        </w:rPr>
        <w:t>The antenna gain of rough beams is naturally expected to be lower than fine beams. Since the minimum antenna gain also needs to be understood to define RRM side conditions, we could wait until side conditions for RRM measurements are agreed and define the minimum gain offset as the difference between EIS and RRM side condition.</w:t>
      </w:r>
    </w:p>
    <w:p w:rsidR="00E36C14" w:rsidRDefault="00E36C14" w:rsidP="00F431DB">
      <w:pPr>
        <w:pStyle w:val="TAC"/>
        <w:jc w:val="left"/>
        <w:rPr>
          <w:lang w:val="en-US" w:eastAsia="zh-CN"/>
        </w:rPr>
      </w:pPr>
      <w:r>
        <w:rPr>
          <w:lang w:val="en-US" w:eastAsia="zh-CN"/>
        </w:rPr>
        <w:t xml:space="preserve">As an example, it was proposed </w:t>
      </w:r>
      <w:r w:rsidR="004D46C5">
        <w:rPr>
          <w:lang w:val="en-US" w:eastAsia="zh-CN"/>
        </w:rPr>
        <w:t xml:space="preserve">in </w:t>
      </w:r>
      <w:r w:rsidR="004D46C5">
        <w:rPr>
          <w:lang w:val="en-US" w:eastAsia="zh-CN"/>
        </w:rPr>
        <w:fldChar w:fldCharType="begin"/>
      </w:r>
      <w:r w:rsidR="004D46C5">
        <w:rPr>
          <w:lang w:val="en-US" w:eastAsia="zh-CN"/>
        </w:rPr>
        <w:instrText xml:space="preserve"> REF _Ref531616490 \r \h </w:instrText>
      </w:r>
      <w:r w:rsidR="004D46C5">
        <w:rPr>
          <w:lang w:val="en-US" w:eastAsia="zh-CN"/>
        </w:rPr>
      </w:r>
      <w:r w:rsidR="004D46C5">
        <w:rPr>
          <w:lang w:val="en-US" w:eastAsia="zh-CN"/>
        </w:rPr>
        <w:fldChar w:fldCharType="separate"/>
      </w:r>
      <w:r w:rsidR="004D46C5">
        <w:rPr>
          <w:lang w:val="en-US" w:eastAsia="zh-CN"/>
        </w:rPr>
        <w:t>[6]</w:t>
      </w:r>
      <w:r w:rsidR="004D46C5">
        <w:rPr>
          <w:lang w:val="en-US" w:eastAsia="zh-CN"/>
        </w:rPr>
        <w:fldChar w:fldCharType="end"/>
      </w:r>
      <w:r w:rsidR="009227EA">
        <w:rPr>
          <w:lang w:val="en-US" w:eastAsia="zh-CN"/>
        </w:rPr>
        <w:t xml:space="preserve"> that</w:t>
      </w:r>
    </w:p>
    <w:p w:rsidR="009227EA" w:rsidRDefault="009227EA" w:rsidP="00F431DB">
      <w:pPr>
        <w:pStyle w:val="TAC"/>
        <w:jc w:val="left"/>
        <w:rPr>
          <w:i/>
          <w:lang w:val="en-US" w:eastAsia="ja-JP"/>
        </w:rPr>
      </w:pPr>
    </w:p>
    <w:p w:rsidR="009227EA" w:rsidRDefault="009227EA" w:rsidP="00F431DB">
      <w:pPr>
        <w:pStyle w:val="TAC"/>
        <w:jc w:val="left"/>
        <w:rPr>
          <w:lang w:val="en-US" w:eastAsia="ja-JP"/>
        </w:rPr>
      </w:pPr>
      <w:r w:rsidRPr="009227EA">
        <w:rPr>
          <w:i/>
          <w:lang w:val="en-US" w:eastAsia="ja-JP"/>
        </w:rPr>
        <w:t>Minimum gain of “rough beams” over the part of the sphere in which spherical EIS is met (upper 50%-ile) should be 5dB less than the gain assumed for the 50%-ile gain definition</w:t>
      </w:r>
    </w:p>
    <w:p w:rsidR="009227EA" w:rsidRDefault="009227EA" w:rsidP="00F431DB">
      <w:pPr>
        <w:pStyle w:val="TAC"/>
        <w:jc w:val="left"/>
        <w:rPr>
          <w:lang w:val="en-US" w:eastAsia="ja-JP"/>
        </w:rPr>
      </w:pPr>
    </w:p>
    <w:p w:rsidR="009227EA" w:rsidRDefault="009227EA" w:rsidP="00F431DB">
      <w:pPr>
        <w:pStyle w:val="TAC"/>
        <w:jc w:val="left"/>
        <w:rPr>
          <w:lang w:val="en-US" w:eastAsia="ja-JP"/>
        </w:rPr>
      </w:pPr>
      <w:r>
        <w:rPr>
          <w:lang w:val="en-US" w:eastAsia="ja-JP"/>
        </w:rPr>
        <w:t>Following this definition, and assuming 7dBi (proposal 6) for minimum fine beam gain gives 2dBi minimum gain for rough beams</w:t>
      </w:r>
    </w:p>
    <w:p w:rsidR="009227EA" w:rsidRDefault="009227EA" w:rsidP="00F431DB">
      <w:pPr>
        <w:pStyle w:val="TAC"/>
        <w:jc w:val="left"/>
        <w:rPr>
          <w:b/>
          <w:lang w:val="en-US" w:eastAsia="ja-JP"/>
        </w:rPr>
      </w:pPr>
      <w:r>
        <w:rPr>
          <w:b/>
          <w:lang w:val="en-US" w:eastAsia="ja-JP"/>
        </w:rPr>
        <w:t>Proposal 7: The minimum antenna gain for rough beams is consistent with the assumptions used to derive RRM side conditions</w:t>
      </w:r>
    </w:p>
    <w:p w:rsidR="00CF2131" w:rsidRDefault="00CF2131" w:rsidP="00F431DB">
      <w:pPr>
        <w:pStyle w:val="TAC"/>
        <w:jc w:val="left"/>
        <w:rPr>
          <w:b/>
          <w:lang w:val="en-US" w:eastAsia="ja-JP"/>
        </w:rPr>
      </w:pPr>
    </w:p>
    <w:p w:rsidR="00CF2131" w:rsidRPr="00CF2131" w:rsidRDefault="00CF2131" w:rsidP="00F431DB">
      <w:pPr>
        <w:pStyle w:val="TAC"/>
        <w:jc w:val="left"/>
        <w:rPr>
          <w:rFonts w:eastAsia="Calibri"/>
        </w:rPr>
      </w:pPr>
      <w:r w:rsidRPr="00CF2131">
        <w:rPr>
          <w:lang w:val="en-US" w:eastAsia="ja-JP"/>
        </w:rPr>
        <w:t>To</w:t>
      </w:r>
      <w:r>
        <w:rPr>
          <w:lang w:val="en-US" w:eastAsia="ja-JP"/>
        </w:rPr>
        <w:t xml:space="preserve"> illustrate other proposals, we assume for now that [2]dBi is a reasonable value for minimum antenna gain for rough beams.</w:t>
      </w:r>
    </w:p>
    <w:p w:rsidR="00E36C14" w:rsidRDefault="00F431DB" w:rsidP="00E36C14">
      <w:pPr>
        <w:pStyle w:val="Heading3"/>
        <w:rPr>
          <w:lang w:val="en-US" w:eastAsia="zh-CN"/>
        </w:rPr>
      </w:pPr>
      <w:r>
        <w:rPr>
          <w:lang w:val="en-US" w:eastAsia="zh-CN"/>
        </w:rPr>
        <w:t>Maximum</w:t>
      </w:r>
      <w:r w:rsidR="00E36C14">
        <w:rPr>
          <w:lang w:val="en-US" w:eastAsia="zh-CN"/>
        </w:rPr>
        <w:t xml:space="preserve"> antenna gain</w:t>
      </w:r>
    </w:p>
    <w:p w:rsidR="00527CF6" w:rsidRDefault="00F431DB" w:rsidP="00BF72C0">
      <w:r>
        <w:t xml:space="preserve">For maximum antenna gain, the same analysis can be used for rough and fine beams. The reason is that a UE may not always implement rough </w:t>
      </w:r>
      <w:r w:rsidR="00A334CE">
        <w:t>beams,</w:t>
      </w:r>
      <w:r>
        <w:t xml:space="preserve"> so the maximum gain of the rough beam receiver can be thought as </w:t>
      </w:r>
      <w:r w:rsidR="004D46C5">
        <w:t xml:space="preserve">equivalent. </w:t>
      </w:r>
      <w:r w:rsidR="008D18EE">
        <w:t>From the antenna modelling description in TR</w:t>
      </w:r>
      <w:r w:rsidR="00CF2131">
        <w:t xml:space="preserve">38.803, </w:t>
      </w:r>
    </w:p>
    <w:p w:rsidR="00CF2131" w:rsidRPr="00A9047C" w:rsidRDefault="00CF2131" w:rsidP="00CF2131">
      <w:pPr>
        <w:keepNext/>
        <w:keepLines/>
        <w:spacing w:before="60"/>
        <w:jc w:val="center"/>
        <w:rPr>
          <w:rFonts w:ascii="Arial" w:hAnsi="Arial"/>
          <w:b/>
          <w:highlight w:val="lightGray"/>
          <w:lang w:eastAsia="ja-JP"/>
        </w:rPr>
      </w:pPr>
      <w:r w:rsidRPr="00A9047C">
        <w:rPr>
          <w:rFonts w:ascii="Arial" w:hAnsi="Arial"/>
          <w:b/>
          <w:highlight w:val="lightGray"/>
          <w:lang w:eastAsia="ko-KR"/>
        </w:rPr>
        <w:t xml:space="preserve">Table </w:t>
      </w:r>
      <w:r w:rsidRPr="00A9047C">
        <w:rPr>
          <w:rFonts w:ascii="Arial" w:hAnsi="Arial" w:hint="eastAsia"/>
          <w:b/>
          <w:highlight w:val="lightGray"/>
          <w:lang w:eastAsia="ja-JP"/>
        </w:rPr>
        <w:t>5.2.3.3-1</w:t>
      </w:r>
      <w:r w:rsidRPr="00A9047C">
        <w:rPr>
          <w:rFonts w:ascii="Arial" w:hAnsi="Arial"/>
          <w:b/>
          <w:highlight w:val="lightGray"/>
          <w:lang w:eastAsia="ko-KR"/>
        </w:rPr>
        <w:t xml:space="preserve">: </w:t>
      </w:r>
      <w:r w:rsidRPr="00A9047C">
        <w:rPr>
          <w:rFonts w:ascii="Arial" w:hAnsi="Arial" w:hint="eastAsia"/>
          <w:b/>
          <w:highlight w:val="lightGray"/>
          <w:lang w:eastAsia="ja-JP"/>
        </w:rPr>
        <w:t>UE</w:t>
      </w:r>
      <w:r w:rsidRPr="00A9047C">
        <w:rPr>
          <w:rFonts w:ascii="Arial" w:hAnsi="Arial"/>
          <w:b/>
          <w:highlight w:val="lightGray"/>
          <w:lang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F2131" w:rsidRPr="00A9047C" w:rsidTr="003B2F6C">
        <w:trPr>
          <w:cantSplit/>
          <w:trHeight w:val="182"/>
          <w:jc w:val="center"/>
        </w:trPr>
        <w:tc>
          <w:tcPr>
            <w:tcW w:w="2290" w:type="dxa"/>
            <w:shd w:val="clear" w:color="auto" w:fill="E0E0E0"/>
            <w:vAlign w:val="center"/>
          </w:tcPr>
          <w:p w:rsidR="00CF2131" w:rsidRPr="00A9047C" w:rsidRDefault="00CF2131" w:rsidP="003B2F6C">
            <w:pPr>
              <w:keepNext/>
              <w:keepLines/>
              <w:spacing w:after="0"/>
              <w:jc w:val="center"/>
              <w:rPr>
                <w:rFonts w:ascii="Arial" w:hAnsi="Arial"/>
                <w:b/>
                <w:sz w:val="18"/>
                <w:highlight w:val="lightGray"/>
              </w:rPr>
            </w:pPr>
            <w:r w:rsidRPr="00A9047C">
              <w:rPr>
                <w:rFonts w:ascii="Arial" w:hAnsi="Arial"/>
                <w:b/>
                <w:sz w:val="18"/>
                <w:highlight w:val="lightGray"/>
              </w:rPr>
              <w:t>Parameter</w:t>
            </w:r>
          </w:p>
        </w:tc>
        <w:tc>
          <w:tcPr>
            <w:tcW w:w="7495" w:type="dxa"/>
            <w:shd w:val="clear" w:color="auto" w:fill="E0E0E0"/>
            <w:vAlign w:val="center"/>
          </w:tcPr>
          <w:p w:rsidR="00CF2131" w:rsidRPr="00A9047C" w:rsidRDefault="00CF2131" w:rsidP="003B2F6C">
            <w:pPr>
              <w:keepNext/>
              <w:keepLines/>
              <w:spacing w:after="0"/>
              <w:jc w:val="center"/>
              <w:rPr>
                <w:rFonts w:ascii="Arial" w:hAnsi="Arial"/>
                <w:b/>
                <w:sz w:val="18"/>
                <w:highlight w:val="lightGray"/>
              </w:rPr>
            </w:pPr>
            <w:r w:rsidRPr="00A9047C">
              <w:rPr>
                <w:rFonts w:ascii="Arial" w:hAnsi="Arial"/>
                <w:b/>
                <w:sz w:val="18"/>
                <w:highlight w:val="lightGray"/>
              </w:rPr>
              <w:t>Values</w:t>
            </w:r>
          </w:p>
        </w:tc>
      </w:tr>
      <w:tr w:rsidR="00CF2131" w:rsidRPr="00A9047C" w:rsidTr="003B2F6C">
        <w:trPr>
          <w:cantSplit/>
          <w:trHeight w:val="824"/>
          <w:jc w:val="center"/>
        </w:trPr>
        <w:tc>
          <w:tcPr>
            <w:tcW w:w="2290" w:type="dxa"/>
            <w:shd w:val="clear" w:color="auto" w:fill="auto"/>
            <w:vAlign w:val="center"/>
          </w:tcPr>
          <w:p w:rsidR="00CF2131" w:rsidRPr="00A9047C" w:rsidRDefault="00CF2131" w:rsidP="003B2F6C">
            <w:pPr>
              <w:keepNext/>
              <w:keepLines/>
              <w:spacing w:after="0"/>
              <w:rPr>
                <w:rFonts w:ascii="Arial" w:hAnsi="Arial"/>
                <w:sz w:val="18"/>
                <w:highlight w:val="lightGray"/>
              </w:rPr>
            </w:pPr>
            <w:r w:rsidRPr="00A9047C">
              <w:rPr>
                <w:rFonts w:ascii="Arial" w:hAnsi="Arial"/>
                <w:sz w:val="18"/>
                <w:highlight w:val="lightGray"/>
              </w:rPr>
              <w:t>Antenna element vertical radiation pattern (dB)</w:t>
            </w:r>
          </w:p>
        </w:tc>
        <w:tc>
          <w:tcPr>
            <w:tcW w:w="7495" w:type="dxa"/>
            <w:vAlign w:val="center"/>
          </w:tcPr>
          <w:p w:rsidR="00CF2131" w:rsidRPr="00A9047C" w:rsidRDefault="00B1150E" w:rsidP="003B2F6C">
            <w:pPr>
              <w:keepNext/>
              <w:keepLines/>
              <w:spacing w:after="0"/>
              <w:jc w:val="center"/>
              <w:rPr>
                <w:rFonts w:ascii="Arial" w:eastAsia="SimSun" w:hAnsi="Arial"/>
                <w:sz w:val="18"/>
                <w:highlight w:val="lightGray"/>
              </w:rPr>
            </w:pPr>
            <w:r>
              <w:rPr>
                <w:rFonts w:ascii="Arial" w:hAnsi="Arial"/>
                <w:position w:val="-38"/>
                <w:sz w:val="18"/>
                <w:highlight w:val="light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pt;height:44.5pt">
                  <v:imagedata r:id="rId13" o:title=""/>
                </v:shape>
              </w:pict>
            </w:r>
          </w:p>
        </w:tc>
      </w:tr>
      <w:tr w:rsidR="00CF2131" w:rsidRPr="00A9047C" w:rsidTr="003B2F6C">
        <w:trPr>
          <w:cantSplit/>
          <w:trHeight w:val="809"/>
          <w:jc w:val="center"/>
        </w:trPr>
        <w:tc>
          <w:tcPr>
            <w:tcW w:w="2290" w:type="dxa"/>
            <w:shd w:val="clear" w:color="auto" w:fill="auto"/>
            <w:vAlign w:val="center"/>
          </w:tcPr>
          <w:p w:rsidR="00CF2131" w:rsidRPr="00A9047C" w:rsidRDefault="00CF2131" w:rsidP="003B2F6C">
            <w:pPr>
              <w:keepNext/>
              <w:keepLines/>
              <w:spacing w:after="0"/>
              <w:rPr>
                <w:rFonts w:ascii="Arial" w:hAnsi="Arial"/>
                <w:sz w:val="18"/>
                <w:highlight w:val="lightGray"/>
              </w:rPr>
            </w:pPr>
            <w:r w:rsidRPr="00A9047C">
              <w:rPr>
                <w:rFonts w:ascii="Arial" w:hAnsi="Arial"/>
                <w:sz w:val="18"/>
                <w:highlight w:val="lightGray"/>
              </w:rPr>
              <w:t>Antenna element horizontal radiation pattern (dB)</w:t>
            </w:r>
          </w:p>
        </w:tc>
        <w:tc>
          <w:tcPr>
            <w:tcW w:w="7495" w:type="dxa"/>
            <w:vAlign w:val="center"/>
          </w:tcPr>
          <w:p w:rsidR="00CF2131" w:rsidRPr="00A9047C" w:rsidRDefault="00B1150E" w:rsidP="003B2F6C">
            <w:pPr>
              <w:keepNext/>
              <w:keepLines/>
              <w:spacing w:after="0"/>
              <w:jc w:val="center"/>
              <w:rPr>
                <w:rFonts w:ascii="Arial" w:hAnsi="Arial"/>
                <w:sz w:val="18"/>
                <w:highlight w:val="lightGray"/>
              </w:rPr>
            </w:pPr>
            <w:r>
              <w:rPr>
                <w:rFonts w:ascii="Arial" w:hAnsi="Arial"/>
                <w:position w:val="-38"/>
                <w:sz w:val="18"/>
                <w:highlight w:val="lightGray"/>
              </w:rPr>
              <w:pict>
                <v:shape id="_x0000_i1026" type="#_x0000_t75" style="width:273.5pt;height:44.5pt">
                  <v:imagedata r:id="rId14" o:title=""/>
                </v:shape>
              </w:pict>
            </w:r>
          </w:p>
          <w:p w:rsidR="00CF2131" w:rsidRPr="00A9047C" w:rsidRDefault="00CF2131" w:rsidP="003B2F6C">
            <w:pPr>
              <w:keepNext/>
              <w:keepLines/>
              <w:spacing w:after="0"/>
              <w:jc w:val="center"/>
              <w:rPr>
                <w:rFonts w:ascii="Arial" w:eastAsia="SimSun" w:hAnsi="Arial"/>
                <w:sz w:val="18"/>
                <w:highlight w:val="lightGray"/>
              </w:rPr>
            </w:pPr>
          </w:p>
        </w:tc>
      </w:tr>
      <w:tr w:rsidR="00CF2131" w:rsidRPr="00A9047C" w:rsidTr="003B2F6C">
        <w:trPr>
          <w:cantSplit/>
          <w:trHeight w:val="378"/>
          <w:jc w:val="center"/>
        </w:trPr>
        <w:tc>
          <w:tcPr>
            <w:tcW w:w="2290" w:type="dxa"/>
            <w:shd w:val="clear" w:color="auto" w:fill="auto"/>
            <w:vAlign w:val="center"/>
          </w:tcPr>
          <w:p w:rsidR="00CF2131" w:rsidRPr="00A9047C" w:rsidRDefault="00CF2131" w:rsidP="003B2F6C">
            <w:pPr>
              <w:keepNext/>
              <w:keepLines/>
              <w:spacing w:after="0"/>
              <w:rPr>
                <w:rFonts w:ascii="Arial" w:hAnsi="Arial"/>
                <w:sz w:val="18"/>
                <w:highlight w:val="lightGray"/>
              </w:rPr>
            </w:pPr>
            <w:r w:rsidRPr="00A9047C">
              <w:rPr>
                <w:rFonts w:ascii="Arial" w:hAnsi="Arial"/>
                <w:sz w:val="18"/>
                <w:highlight w:val="lightGray"/>
              </w:rPr>
              <w:t>Combining method for 3D antenna element pattern (dB)</w:t>
            </w:r>
          </w:p>
        </w:tc>
        <w:tc>
          <w:tcPr>
            <w:tcW w:w="7495" w:type="dxa"/>
            <w:vAlign w:val="center"/>
          </w:tcPr>
          <w:p w:rsidR="00CF2131" w:rsidRPr="00A9047C" w:rsidRDefault="00B1150E" w:rsidP="003B2F6C">
            <w:pPr>
              <w:keepNext/>
              <w:keepLines/>
              <w:spacing w:after="0"/>
              <w:jc w:val="center"/>
              <w:rPr>
                <w:rFonts w:ascii="Arial" w:eastAsia="SimSun" w:hAnsi="Arial"/>
                <w:sz w:val="18"/>
                <w:highlight w:val="lightGray"/>
              </w:rPr>
            </w:pPr>
            <w:r>
              <w:rPr>
                <w:rFonts w:ascii="Arial" w:hAnsi="Arial"/>
                <w:position w:val="-14"/>
                <w:sz w:val="18"/>
                <w:highlight w:val="lightGray"/>
              </w:rPr>
              <w:pict>
                <v:shape id="_x0000_i1027" type="#_x0000_t75" style="width:222.5pt;height:19pt">
                  <v:imagedata r:id="rId15" o:title=""/>
                </v:shape>
              </w:pict>
            </w:r>
          </w:p>
        </w:tc>
      </w:tr>
      <w:tr w:rsidR="00CF2131" w:rsidRPr="002A7936" w:rsidTr="003B2F6C">
        <w:trPr>
          <w:cantSplit/>
          <w:trHeight w:val="391"/>
          <w:jc w:val="center"/>
        </w:trPr>
        <w:tc>
          <w:tcPr>
            <w:tcW w:w="2290" w:type="dxa"/>
            <w:shd w:val="clear" w:color="auto" w:fill="auto"/>
            <w:vAlign w:val="center"/>
          </w:tcPr>
          <w:p w:rsidR="00CF2131" w:rsidRPr="006158D7" w:rsidRDefault="00CF2131" w:rsidP="003B2F6C">
            <w:pPr>
              <w:keepNext/>
              <w:keepLines/>
              <w:spacing w:after="0"/>
              <w:rPr>
                <w:rFonts w:ascii="Arial" w:hAnsi="Arial"/>
                <w:sz w:val="18"/>
                <w:highlight w:val="cyan"/>
              </w:rPr>
            </w:pPr>
            <w:r w:rsidRPr="002A7936">
              <w:rPr>
                <w:rFonts w:ascii="Arial" w:hAnsi="Arial"/>
                <w:sz w:val="18"/>
                <w:highlight w:val="cyan"/>
              </w:rPr>
              <w:t>Ma</w:t>
            </w:r>
            <w:r w:rsidRPr="006158D7">
              <w:rPr>
                <w:rFonts w:ascii="Arial" w:hAnsi="Arial"/>
                <w:sz w:val="18"/>
                <w:highlight w:val="cyan"/>
              </w:rPr>
              <w:t xml:space="preserve">ximum directional gain of an antenna element </w:t>
            </w:r>
            <w:r w:rsidRPr="006158D7">
              <w:rPr>
                <w:rFonts w:ascii="Arial" w:hAnsi="Arial"/>
                <w:i/>
                <w:sz w:val="18"/>
                <w:highlight w:val="cyan"/>
              </w:rPr>
              <w:t>G</w:t>
            </w:r>
            <w:r w:rsidRPr="006158D7">
              <w:rPr>
                <w:rFonts w:ascii="Arial" w:hAnsi="Arial"/>
                <w:i/>
                <w:sz w:val="18"/>
                <w:highlight w:val="cyan"/>
                <w:vertAlign w:val="subscript"/>
              </w:rPr>
              <w:t>E,max</w:t>
            </w:r>
          </w:p>
        </w:tc>
        <w:tc>
          <w:tcPr>
            <w:tcW w:w="7495" w:type="dxa"/>
            <w:vAlign w:val="center"/>
          </w:tcPr>
          <w:p w:rsidR="00CF2131" w:rsidRPr="006158D7" w:rsidRDefault="00CF2131" w:rsidP="003B2F6C">
            <w:pPr>
              <w:keepNext/>
              <w:keepLines/>
              <w:spacing w:after="0"/>
              <w:jc w:val="center"/>
              <w:rPr>
                <w:rFonts w:ascii="Arial" w:eastAsia="SimSun" w:hAnsi="Arial"/>
                <w:sz w:val="18"/>
                <w:highlight w:val="cyan"/>
              </w:rPr>
            </w:pPr>
            <w:r w:rsidRPr="006158D7">
              <w:rPr>
                <w:rFonts w:ascii="Arial" w:hAnsi="Arial" w:hint="eastAsia"/>
                <w:sz w:val="18"/>
                <w:highlight w:val="cyan"/>
                <w:lang w:eastAsia="ja-JP"/>
              </w:rPr>
              <w:t>5</w:t>
            </w:r>
            <w:r w:rsidRPr="006158D7">
              <w:rPr>
                <w:rFonts w:ascii="Arial" w:eastAsia="SimSun" w:hAnsi="Arial"/>
                <w:sz w:val="18"/>
                <w:highlight w:val="cyan"/>
              </w:rPr>
              <w:t xml:space="preserve"> dBi</w:t>
            </w:r>
          </w:p>
        </w:tc>
      </w:tr>
    </w:tbl>
    <w:p w:rsidR="00CF2131" w:rsidRDefault="00CF2131" w:rsidP="00BF72C0"/>
    <w:p w:rsidR="00CF2131" w:rsidRDefault="00CF2131" w:rsidP="00BF72C0">
      <w:r>
        <w:t>We could conclude that the peak antenna gain is 5+10log10(N antenna gain is 5+10log</w:t>
      </w:r>
      <w:r w:rsidRPr="00CF2131">
        <w:rPr>
          <w:vertAlign w:val="subscript"/>
        </w:rPr>
        <w:t>10</w:t>
      </w:r>
      <w:r>
        <w:t>(N</w:t>
      </w:r>
      <w:r w:rsidRPr="00CF2131">
        <w:rPr>
          <w:vertAlign w:val="subscript"/>
        </w:rPr>
        <w:t>e</w:t>
      </w:r>
      <w:r>
        <w:t>) where N</w:t>
      </w:r>
      <w:r w:rsidRPr="00CF2131">
        <w:rPr>
          <w:vertAlign w:val="subscript"/>
        </w:rPr>
        <w:t>e</w:t>
      </w:r>
      <w:r>
        <w:t xml:space="preserve"> is the number of antenna elements in the array. Our expectation is that 16 antenna elements is a reasonable maximum for RRM measurements, considering that narrow beams will also be very directional and not suitable for RRM purposes. </w:t>
      </w:r>
      <w:r w:rsidR="00A334CE">
        <w:t>Hence,</w:t>
      </w:r>
      <w:r>
        <w:t xml:space="preserve"> we propose 17dBi as the maximum antenna gain value</w:t>
      </w:r>
    </w:p>
    <w:p w:rsidR="00CF2131" w:rsidRDefault="00CF2131" w:rsidP="00BF72C0">
      <w:pPr>
        <w:rPr>
          <w:b/>
        </w:rPr>
      </w:pPr>
      <w:r>
        <w:rPr>
          <w:b/>
        </w:rPr>
        <w:t>Proposal 8: For both rough and fine beams, maximum antenna gain is assumed to be 17dBi</w:t>
      </w:r>
    </w:p>
    <w:p w:rsidR="00CF2131" w:rsidRDefault="00CF2131" w:rsidP="00BF72C0">
      <w:r>
        <w:t>Putting proposals 6-8 together gives gain range of</w:t>
      </w:r>
    </w:p>
    <w:p w:rsidR="00CF2131" w:rsidRDefault="00CF2131" w:rsidP="00BF72C0">
      <w:r>
        <w:lastRenderedPageBreak/>
        <w:t>Rough beams : 2dBi to 17dBi</w:t>
      </w:r>
    </w:p>
    <w:p w:rsidR="00CF2131" w:rsidRDefault="00CF2131" w:rsidP="00BF72C0">
      <w:r>
        <w:t>Fine beams: 7dBi to 17dBi</w:t>
      </w:r>
    </w:p>
    <w:p w:rsidR="00CF2131" w:rsidRDefault="00CF2131" w:rsidP="00BF72C0">
      <w:r>
        <w:t>In other words, the antenna contributes an additional ±7.5dB to measurement reports based on rough beams and ±5dB to measurements made with fine beams (</w:t>
      </w:r>
      <w:r w:rsidR="00A334CE">
        <w:t>e.g.</w:t>
      </w:r>
      <w:r>
        <w:t xml:space="preserve"> L1 RSRP). As the baseband accuracy is already specified as </w:t>
      </w:r>
      <w:r w:rsidR="0084066F">
        <w:t>±6dB (intra frequency SS-RSRP absolute accuracy), the overall range becomes ±13.5dB for SS-RSRP based on rough beam measurements.</w:t>
      </w:r>
    </w:p>
    <w:p w:rsidR="005813AA" w:rsidRDefault="005813AA" w:rsidP="005813AA">
      <w:pPr>
        <w:pStyle w:val="Heading1"/>
        <w:jc w:val="both"/>
        <w:rPr>
          <w:rFonts w:eastAsia="SimSun"/>
          <w:lang w:val="en-US" w:eastAsia="zh-CN"/>
        </w:rPr>
      </w:pPr>
      <w:r>
        <w:rPr>
          <w:rFonts w:eastAsia="SimSun"/>
          <w:lang w:val="en-US" w:eastAsia="zh-CN"/>
        </w:rPr>
        <w:t>Conclusion</w:t>
      </w:r>
    </w:p>
    <w:p w:rsidR="003771DF" w:rsidRDefault="003771DF" w:rsidP="003771DF">
      <w:pPr>
        <w:rPr>
          <w:b/>
          <w:lang w:val="en-US" w:eastAsia="zh-CN"/>
        </w:rPr>
      </w:pPr>
      <w:r>
        <w:rPr>
          <w:b/>
          <w:lang w:val="en-US" w:eastAsia="zh-CN"/>
        </w:rPr>
        <w:t>Proposal 1: Method 2 is not used for future work on NR RRM testing</w:t>
      </w:r>
    </w:p>
    <w:p w:rsidR="003771DF" w:rsidRDefault="003771DF" w:rsidP="003771DF">
      <w:pPr>
        <w:rPr>
          <w:b/>
          <w:lang w:val="en-US" w:eastAsia="zh-CN"/>
        </w:rPr>
      </w:pPr>
      <w:r>
        <w:rPr>
          <w:b/>
          <w:lang w:val="en-US" w:eastAsia="zh-CN"/>
        </w:rPr>
        <w:t>Proposal 2: Method 3 is feasible for future work on NR RRM testing.</w:t>
      </w:r>
    </w:p>
    <w:p w:rsidR="003771DF" w:rsidRPr="003978C2" w:rsidRDefault="003771DF" w:rsidP="003771DF">
      <w:pPr>
        <w:rPr>
          <w:b/>
          <w:lang w:val="en-US" w:eastAsia="zh-CN"/>
        </w:rPr>
      </w:pPr>
      <w:r>
        <w:rPr>
          <w:b/>
          <w:lang w:val="en-US" w:eastAsia="zh-CN"/>
        </w:rPr>
        <w:t>Proposal 3 : Combined method 2a+3 can be considered, especially if method 3 by itself has wide test limits considering practical antenna gain range</w:t>
      </w:r>
    </w:p>
    <w:p w:rsidR="003771DF" w:rsidRDefault="003771DF" w:rsidP="003771DF">
      <w:pPr>
        <w:rPr>
          <w:b/>
          <w:lang w:val="en-US" w:eastAsia="zh-CN"/>
        </w:rPr>
      </w:pPr>
      <w:r>
        <w:rPr>
          <w:b/>
          <w:lang w:val="en-US" w:eastAsia="zh-CN"/>
        </w:rPr>
        <w:t>Proposal 4: Relative accuracy requirements can be directly applied in OTA scenario 1 and 2</w:t>
      </w:r>
    </w:p>
    <w:p w:rsidR="003771DF" w:rsidRDefault="003771DF" w:rsidP="003771DF">
      <w:pPr>
        <w:rPr>
          <w:b/>
          <w:lang w:val="en-US" w:eastAsia="zh-CN"/>
        </w:rPr>
      </w:pPr>
      <w:r>
        <w:rPr>
          <w:b/>
          <w:lang w:val="en-US" w:eastAsia="zh-CN"/>
        </w:rPr>
        <w:t>Proposal 5: RAN4 needs to discuss further how to apply relative accuracy requirements in OTA scenario 3.</w:t>
      </w:r>
    </w:p>
    <w:p w:rsidR="00CF2131" w:rsidRDefault="00CF2131" w:rsidP="00CF2131">
      <w:pPr>
        <w:rPr>
          <w:b/>
          <w:lang w:val="en-US" w:eastAsia="zh-CN"/>
        </w:rPr>
      </w:pPr>
      <w:r w:rsidRPr="00527CF6">
        <w:rPr>
          <w:b/>
          <w:lang w:val="en-US" w:eastAsia="zh-CN"/>
        </w:rPr>
        <w:t>Proposal</w:t>
      </w:r>
      <w:r>
        <w:rPr>
          <w:b/>
          <w:lang w:val="en-US" w:eastAsia="zh-CN"/>
        </w:rPr>
        <w:t xml:space="preserve"> 6: The minimum antenna gain for fine beams is 7dBi</w:t>
      </w:r>
    </w:p>
    <w:p w:rsidR="00CF2131" w:rsidRDefault="00CF2131" w:rsidP="00CF2131">
      <w:pPr>
        <w:pStyle w:val="TAC"/>
        <w:jc w:val="left"/>
        <w:rPr>
          <w:lang w:val="en-US" w:eastAsia="ja-JP"/>
        </w:rPr>
      </w:pPr>
    </w:p>
    <w:p w:rsidR="00CF2131" w:rsidRDefault="00CF2131" w:rsidP="00CF2131">
      <w:pPr>
        <w:pStyle w:val="TAC"/>
        <w:jc w:val="left"/>
        <w:rPr>
          <w:b/>
          <w:lang w:val="en-US" w:eastAsia="ja-JP"/>
        </w:rPr>
      </w:pPr>
      <w:r>
        <w:rPr>
          <w:b/>
          <w:lang w:val="en-US" w:eastAsia="ja-JP"/>
        </w:rPr>
        <w:t>Proposal 7: The minimum antenna gain for rough beams is consistent with the assumptions used to derive RRM side conditions</w:t>
      </w:r>
    </w:p>
    <w:p w:rsidR="00CF2131" w:rsidRDefault="00CF2131" w:rsidP="00CF2131">
      <w:pPr>
        <w:pStyle w:val="TAC"/>
        <w:jc w:val="left"/>
        <w:rPr>
          <w:b/>
          <w:lang w:val="en-US" w:eastAsia="ja-JP"/>
        </w:rPr>
      </w:pPr>
    </w:p>
    <w:p w:rsidR="00CF2131" w:rsidRDefault="00CF2131" w:rsidP="00CF2131">
      <w:pPr>
        <w:rPr>
          <w:b/>
        </w:rPr>
      </w:pPr>
      <w:r>
        <w:rPr>
          <w:b/>
        </w:rPr>
        <w:t>Proposal 8: For both rough and fine beams, maximum antenna gain is assumed to be 17dBi</w:t>
      </w:r>
    </w:p>
    <w:p w:rsidR="00CF2131" w:rsidRDefault="00CF2131" w:rsidP="00CF2131">
      <w:r>
        <w:t>Putting proposals 6-8 together gives gain range of</w:t>
      </w:r>
    </w:p>
    <w:p w:rsidR="00CF2131" w:rsidRDefault="00CF2131" w:rsidP="00CF2131">
      <w:r>
        <w:t>Rough beams : 2dBi to 17dBi</w:t>
      </w:r>
    </w:p>
    <w:p w:rsidR="00CF2131" w:rsidRDefault="00CF2131" w:rsidP="00CF2131">
      <w:r>
        <w:t>Fine beams: 7dBi to 17dBi</w:t>
      </w:r>
    </w:p>
    <w:p w:rsidR="0084066F" w:rsidRDefault="0084066F" w:rsidP="0084066F">
      <w:r>
        <w:t>In other words, the antenna contributes an additional ±7.5dB to measurement reports based on rough beams and ±5dB to measurements made with fine beams (</w:t>
      </w:r>
      <w:r w:rsidR="00A334CE">
        <w:t>e.g.</w:t>
      </w:r>
      <w:r>
        <w:t xml:space="preserve"> L1 RSRP). As the baseband accuracy is already specified as ±6dB (intra frequency SS-RSRP absolute accuracy), the overall range becomes ±13.5dB for SS-RSRP based on rough beam measurements.</w:t>
      </w:r>
    </w:p>
    <w:p w:rsidR="005813AA" w:rsidRDefault="005813AA" w:rsidP="005813AA">
      <w:pPr>
        <w:pStyle w:val="Heading1"/>
        <w:jc w:val="both"/>
        <w:rPr>
          <w:rFonts w:eastAsia="SimSun"/>
          <w:lang w:val="en-US" w:eastAsia="zh-CN"/>
        </w:rPr>
      </w:pPr>
      <w:r>
        <w:rPr>
          <w:rFonts w:eastAsia="SimSun"/>
          <w:lang w:val="en-US" w:eastAsia="zh-CN"/>
        </w:rPr>
        <w:t>References</w:t>
      </w:r>
    </w:p>
    <w:p w:rsidR="00620989" w:rsidRDefault="00620989" w:rsidP="00620989">
      <w:pPr>
        <w:pStyle w:val="3GPPNormalText"/>
        <w:numPr>
          <w:ilvl w:val="0"/>
          <w:numId w:val="5"/>
        </w:numPr>
        <w:rPr>
          <w:lang w:eastAsia="zh-CN"/>
        </w:rPr>
      </w:pPr>
      <w:bookmarkStart w:id="2" w:name="_Ref531263705"/>
      <w:bookmarkStart w:id="3" w:name="_Ref523902554"/>
      <w:bookmarkStart w:id="4" w:name="_Ref528054320"/>
      <w:bookmarkStart w:id="5" w:name="_Ref531258195"/>
      <w:r>
        <w:rPr>
          <w:lang w:eastAsia="zh-CN"/>
        </w:rPr>
        <w:t>R4-1816118, “</w:t>
      </w:r>
      <w:r w:rsidRPr="00620989">
        <w:rPr>
          <w:lang w:eastAsia="zh-CN"/>
        </w:rPr>
        <w:t>Ad hoc minutes for NR RRM Perf I (general part)</w:t>
      </w:r>
      <w:r>
        <w:rPr>
          <w:lang w:eastAsia="zh-CN"/>
        </w:rPr>
        <w:t>”, Ericsson</w:t>
      </w:r>
      <w:bookmarkEnd w:id="2"/>
    </w:p>
    <w:p w:rsidR="00C36F14" w:rsidRDefault="00A03232" w:rsidP="005D0332">
      <w:pPr>
        <w:pStyle w:val="3GPPNormalText"/>
        <w:numPr>
          <w:ilvl w:val="0"/>
          <w:numId w:val="5"/>
        </w:numPr>
        <w:rPr>
          <w:lang w:eastAsia="zh-CN"/>
        </w:rPr>
      </w:pPr>
      <w:bookmarkStart w:id="6" w:name="_Ref531263713"/>
      <w:r w:rsidRPr="00A03232">
        <w:rPr>
          <w:lang w:eastAsia="zh-CN"/>
        </w:rPr>
        <w:t>R4-1</w:t>
      </w:r>
      <w:bookmarkEnd w:id="3"/>
      <w:bookmarkEnd w:id="4"/>
      <w:r w:rsidR="00620989">
        <w:rPr>
          <w:lang w:eastAsia="zh-CN"/>
        </w:rPr>
        <w:t>8</w:t>
      </w:r>
      <w:r w:rsidR="005D0332">
        <w:rPr>
          <w:lang w:eastAsia="zh-CN"/>
        </w:rPr>
        <w:t>14529, “</w:t>
      </w:r>
      <w:r w:rsidR="005D0332" w:rsidRPr="005D0332">
        <w:rPr>
          <w:lang w:eastAsia="zh-CN"/>
        </w:rPr>
        <w:t>Discussion about NR RRM performance accuracy test for FR2</w:t>
      </w:r>
      <w:r w:rsidR="005D0332">
        <w:rPr>
          <w:lang w:eastAsia="zh-CN"/>
        </w:rPr>
        <w:t>”, Intel Corporation</w:t>
      </w:r>
      <w:bookmarkEnd w:id="5"/>
      <w:bookmarkEnd w:id="6"/>
    </w:p>
    <w:p w:rsidR="00BF72C0" w:rsidRDefault="00BF72C0" w:rsidP="00BF72C0">
      <w:pPr>
        <w:pStyle w:val="3GPPNormalText"/>
        <w:numPr>
          <w:ilvl w:val="0"/>
          <w:numId w:val="5"/>
        </w:numPr>
        <w:rPr>
          <w:lang w:eastAsia="zh-CN"/>
        </w:rPr>
      </w:pPr>
      <w:bookmarkStart w:id="7" w:name="_Ref531264335"/>
      <w:r>
        <w:rPr>
          <w:lang w:eastAsia="zh-CN"/>
        </w:rPr>
        <w:t>R4-1816742, “</w:t>
      </w:r>
      <w:r w:rsidRPr="00BF72C0">
        <w:rPr>
          <w:lang w:val="en-GB" w:eastAsia="zh-CN"/>
        </w:rPr>
        <w:t>WF on test methods for FR2 RRM testing</w:t>
      </w:r>
      <w:r>
        <w:rPr>
          <w:lang w:val="en-GB" w:eastAsia="zh-CN"/>
        </w:rPr>
        <w:t xml:space="preserve">”, </w:t>
      </w:r>
      <w:r w:rsidRPr="00BF72C0">
        <w:rPr>
          <w:lang w:eastAsia="zh-CN"/>
        </w:rPr>
        <w:t>Qualcomm Incorporated, AT&amp;T, Docomo, Verizon, Telstra, Keysight, Anritsu, Rohde &amp; Schwarz</w:t>
      </w:r>
      <w:bookmarkEnd w:id="7"/>
    </w:p>
    <w:p w:rsidR="00527CF6" w:rsidRDefault="00527CF6" w:rsidP="00527CF6">
      <w:pPr>
        <w:pStyle w:val="3GPPNormalText"/>
        <w:numPr>
          <w:ilvl w:val="0"/>
          <w:numId w:val="5"/>
        </w:numPr>
        <w:rPr>
          <w:lang w:eastAsia="zh-CN"/>
        </w:rPr>
      </w:pPr>
      <w:bookmarkStart w:id="8" w:name="_Ref531610944"/>
      <w:r w:rsidRPr="00527CF6">
        <w:rPr>
          <w:lang w:eastAsia="zh-CN"/>
        </w:rPr>
        <w:t>R4-1804589</w:t>
      </w:r>
      <w:r>
        <w:rPr>
          <w:lang w:eastAsia="zh-CN"/>
        </w:rPr>
        <w:t>, “mm Wave UE EIS”, Qualcomm</w:t>
      </w:r>
      <w:bookmarkEnd w:id="8"/>
    </w:p>
    <w:p w:rsidR="00527CF6" w:rsidRDefault="00527CF6" w:rsidP="00527CF6">
      <w:pPr>
        <w:pStyle w:val="3GPPNormalText"/>
        <w:numPr>
          <w:ilvl w:val="0"/>
          <w:numId w:val="5"/>
        </w:numPr>
        <w:rPr>
          <w:lang w:eastAsia="zh-CN"/>
        </w:rPr>
      </w:pPr>
      <w:bookmarkStart w:id="9" w:name="_Ref531611105"/>
      <w:r>
        <w:rPr>
          <w:lang w:eastAsia="zh-CN"/>
        </w:rPr>
        <w:t>R4-1812085,  “</w:t>
      </w:r>
      <w:r w:rsidRPr="00527CF6">
        <w:rPr>
          <w:lang w:eastAsia="zh-CN"/>
        </w:rPr>
        <w:t>Antenna gain range for FR2 RRM Test cases in 38.133</w:t>
      </w:r>
      <w:r>
        <w:rPr>
          <w:lang w:eastAsia="zh-CN"/>
        </w:rPr>
        <w:t>”, Anritsu</w:t>
      </w:r>
      <w:bookmarkEnd w:id="9"/>
    </w:p>
    <w:p w:rsidR="004D46C5" w:rsidRDefault="009227EA" w:rsidP="004D46C5">
      <w:pPr>
        <w:pStyle w:val="3GPPNormalText"/>
        <w:numPr>
          <w:ilvl w:val="0"/>
          <w:numId w:val="5"/>
        </w:numPr>
        <w:rPr>
          <w:lang w:eastAsia="zh-CN"/>
        </w:rPr>
      </w:pPr>
      <w:bookmarkStart w:id="10" w:name="_Ref531616490"/>
      <w:r>
        <w:rPr>
          <w:noProof/>
        </w:rPr>
        <w:t>R4-1814947</w:t>
      </w:r>
      <w:r w:rsidR="004D46C5">
        <w:rPr>
          <w:lang w:eastAsia="zh-CN"/>
        </w:rPr>
        <w:t>, “</w:t>
      </w:r>
      <w:r w:rsidR="004D46C5" w:rsidRPr="004D46C5">
        <w:rPr>
          <w:lang w:eastAsia="zh-CN"/>
        </w:rPr>
        <w:t>FR2 RRM Side Conditions</w:t>
      </w:r>
      <w:r w:rsidR="004D46C5">
        <w:rPr>
          <w:lang w:eastAsia="zh-CN"/>
        </w:rPr>
        <w:t>”, Qualcomm</w:t>
      </w:r>
      <w:bookmarkEnd w:id="10"/>
    </w:p>
    <w:sectPr w:rsidR="004D46C5" w:rsidSect="00034006">
      <w:footerReference w:type="even" r:id="rId16"/>
      <w:footerReference w:type="default" r:id="rId17"/>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150E" w:rsidRDefault="00B1150E">
      <w:r>
        <w:separator/>
      </w:r>
    </w:p>
  </w:endnote>
  <w:endnote w:type="continuationSeparator" w:id="0">
    <w:p w:rsidR="00B1150E" w:rsidRDefault="00B1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150E" w:rsidRDefault="00B1150E">
      <w:r>
        <w:separator/>
      </w:r>
    </w:p>
  </w:footnote>
  <w:footnote w:type="continuationSeparator" w:id="0">
    <w:p w:rsidR="00B1150E" w:rsidRDefault="00B115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9" w15:restartNumberingAfterBreak="0">
    <w:nsid w:val="2E7E41E3"/>
    <w:multiLevelType w:val="hybridMultilevel"/>
    <w:tmpl w:val="75C4739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3"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7A863575"/>
    <w:multiLevelType w:val="hybridMultilevel"/>
    <w:tmpl w:val="F22C09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9624370">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458DA90">
      <w:start w:val="1"/>
      <w:numFmt w:val="bullet"/>
      <w:lvlText w:val="o"/>
      <w:lvlJc w:val="left"/>
      <w:pPr>
        <w:tabs>
          <w:tab w:val="num" w:pos="1440"/>
        </w:tabs>
        <w:ind w:left="1440" w:hanging="360"/>
      </w:pPr>
      <w:rPr>
        <w:rFonts w:ascii="Arial" w:hAnsi="Arial" w:cs="Arial" w:hint="default"/>
      </w:rPr>
    </w:lvl>
    <w:lvl w:ilvl="2" w:tplc="57469C54" w:tentative="1">
      <w:start w:val="1"/>
      <w:numFmt w:val="bullet"/>
      <w:lvlText w:val=""/>
      <w:lvlJc w:val="left"/>
      <w:pPr>
        <w:tabs>
          <w:tab w:val="num" w:pos="2160"/>
        </w:tabs>
        <w:ind w:left="2160" w:hanging="360"/>
      </w:pPr>
      <w:rPr>
        <w:rFonts w:ascii="Batang" w:hAnsi="Batang" w:hint="default"/>
      </w:rPr>
    </w:lvl>
    <w:lvl w:ilvl="3" w:tplc="C834116A" w:tentative="1">
      <w:start w:val="1"/>
      <w:numFmt w:val="bullet"/>
      <w:lvlText w:val=""/>
      <w:lvlJc w:val="left"/>
      <w:pPr>
        <w:tabs>
          <w:tab w:val="num" w:pos="2880"/>
        </w:tabs>
        <w:ind w:left="2880" w:hanging="360"/>
      </w:pPr>
      <w:rPr>
        <w:rFonts w:ascii="Wingdings" w:hAnsi="Wingdings" w:hint="default"/>
      </w:rPr>
    </w:lvl>
    <w:lvl w:ilvl="4" w:tplc="53007C6A" w:tentative="1">
      <w:start w:val="1"/>
      <w:numFmt w:val="bullet"/>
      <w:lvlText w:val="o"/>
      <w:lvlJc w:val="left"/>
      <w:pPr>
        <w:tabs>
          <w:tab w:val="num" w:pos="3600"/>
        </w:tabs>
        <w:ind w:left="3600" w:hanging="360"/>
      </w:pPr>
      <w:rPr>
        <w:rFonts w:ascii="Arial" w:hAnsi="Arial" w:cs="Arial" w:hint="default"/>
      </w:rPr>
    </w:lvl>
    <w:lvl w:ilvl="5" w:tplc="6BC25F0C" w:tentative="1">
      <w:start w:val="1"/>
      <w:numFmt w:val="bullet"/>
      <w:lvlText w:val=""/>
      <w:lvlJc w:val="left"/>
      <w:pPr>
        <w:tabs>
          <w:tab w:val="num" w:pos="4320"/>
        </w:tabs>
        <w:ind w:left="4320" w:hanging="360"/>
      </w:pPr>
      <w:rPr>
        <w:rFonts w:ascii="Batang" w:hAnsi="Batang" w:hint="default"/>
      </w:rPr>
    </w:lvl>
    <w:lvl w:ilvl="6" w:tplc="C6B8F676" w:tentative="1">
      <w:start w:val="1"/>
      <w:numFmt w:val="bullet"/>
      <w:lvlText w:val=""/>
      <w:lvlJc w:val="left"/>
      <w:pPr>
        <w:tabs>
          <w:tab w:val="num" w:pos="5040"/>
        </w:tabs>
        <w:ind w:left="5040" w:hanging="360"/>
      </w:pPr>
      <w:rPr>
        <w:rFonts w:ascii="Wingdings" w:hAnsi="Wingdings" w:hint="default"/>
      </w:rPr>
    </w:lvl>
    <w:lvl w:ilvl="7" w:tplc="CE982A02" w:tentative="1">
      <w:start w:val="1"/>
      <w:numFmt w:val="bullet"/>
      <w:lvlText w:val="o"/>
      <w:lvlJc w:val="left"/>
      <w:pPr>
        <w:tabs>
          <w:tab w:val="num" w:pos="5760"/>
        </w:tabs>
        <w:ind w:left="5760" w:hanging="360"/>
      </w:pPr>
      <w:rPr>
        <w:rFonts w:ascii="Arial" w:hAnsi="Arial" w:cs="Arial" w:hint="default"/>
      </w:rPr>
    </w:lvl>
    <w:lvl w:ilvl="8" w:tplc="DBD86C86" w:tentative="1">
      <w:start w:val="1"/>
      <w:numFmt w:val="bullet"/>
      <w:lvlText w:val=""/>
      <w:lvlJc w:val="left"/>
      <w:pPr>
        <w:tabs>
          <w:tab w:val="num" w:pos="6480"/>
        </w:tabs>
        <w:ind w:left="6480" w:hanging="360"/>
      </w:pPr>
      <w:rPr>
        <w:rFonts w:ascii="Batang" w:hAnsi="Batang" w:hint="default"/>
      </w:rPr>
    </w:lvl>
  </w:abstractNum>
  <w:abstractNum w:abstractNumId="26" w15:restartNumberingAfterBreak="0">
    <w:nsid w:val="7CF065E1"/>
    <w:multiLevelType w:val="hybridMultilevel"/>
    <w:tmpl w:val="75C4739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4"/>
  </w:num>
  <w:num w:numId="2">
    <w:abstractNumId w:val="22"/>
  </w:num>
  <w:num w:numId="3">
    <w:abstractNumId w:val="25"/>
  </w:num>
  <w:num w:numId="4">
    <w:abstractNumId w:val="8"/>
  </w:num>
  <w:num w:numId="5">
    <w:abstractNumId w:val="12"/>
  </w:num>
  <w:num w:numId="6">
    <w:abstractNumId w:val="4"/>
  </w:num>
  <w:num w:numId="7">
    <w:abstractNumId w:val="6"/>
  </w:num>
  <w:num w:numId="8">
    <w:abstractNumId w:val="21"/>
  </w:num>
  <w:num w:numId="9">
    <w:abstractNumId w:val="18"/>
  </w:num>
  <w:num w:numId="10">
    <w:abstractNumId w:val="17"/>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6"/>
  </w:num>
  <w:num w:numId="13">
    <w:abstractNumId w:val="1"/>
  </w:num>
  <w:num w:numId="14">
    <w:abstractNumId w:val="19"/>
  </w:num>
  <w:num w:numId="15">
    <w:abstractNumId w:val="5"/>
  </w:num>
  <w:num w:numId="16">
    <w:abstractNumId w:val="2"/>
  </w:num>
  <w:num w:numId="17">
    <w:abstractNumId w:val="15"/>
  </w:num>
  <w:num w:numId="18">
    <w:abstractNumId w:val="13"/>
  </w:num>
  <w:num w:numId="19">
    <w:abstractNumId w:val="3"/>
  </w:num>
  <w:num w:numId="20">
    <w:abstractNumId w:val="10"/>
  </w:num>
  <w:num w:numId="21">
    <w:abstractNumId w:val="11"/>
  </w:num>
  <w:num w:numId="22">
    <w:abstractNumId w:val="7"/>
  </w:num>
  <w:num w:numId="23">
    <w:abstractNumId w:val="27"/>
  </w:num>
  <w:num w:numId="24">
    <w:abstractNumId w:val="23"/>
  </w:num>
  <w:num w:numId="25">
    <w:abstractNumId w:val="20"/>
  </w:num>
  <w:num w:numId="26">
    <w:abstractNumId w:val="24"/>
  </w:num>
  <w:num w:numId="27">
    <w:abstractNumId w:val="9"/>
  </w:num>
  <w:num w:numId="28">
    <w:abstractNumId w:val="2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68F"/>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1DF"/>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8C2"/>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6C5"/>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8C5"/>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CF6"/>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3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989"/>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AA8"/>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8B4"/>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66F"/>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54B"/>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8EE"/>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12C"/>
    <w:rsid w:val="009205CD"/>
    <w:rsid w:val="00920B21"/>
    <w:rsid w:val="00920B63"/>
    <w:rsid w:val="00920F3A"/>
    <w:rsid w:val="00921023"/>
    <w:rsid w:val="00921151"/>
    <w:rsid w:val="009211CD"/>
    <w:rsid w:val="00921695"/>
    <w:rsid w:val="00921D22"/>
    <w:rsid w:val="0092276F"/>
    <w:rsid w:val="009227EA"/>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3E05"/>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4CE"/>
    <w:rsid w:val="00A338BD"/>
    <w:rsid w:val="00A33ADD"/>
    <w:rsid w:val="00A33AE8"/>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4E3"/>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408"/>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50E"/>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5A"/>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BF72C0"/>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33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31"/>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72A"/>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782"/>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7F7"/>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5731"/>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D25"/>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70"/>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6C14"/>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7E3"/>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330"/>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1DB"/>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1D8"/>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2D3B"/>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351D4C"/>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locked/>
    <w:rsid w:val="00527CF6"/>
    <w:rPr>
      <w:rFonts w:ascii="Times New Roman"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1038411">
      <w:bodyDiv w:val="1"/>
      <w:marLeft w:val="0"/>
      <w:marRight w:val="0"/>
      <w:marTop w:val="0"/>
      <w:marBottom w:val="0"/>
      <w:divBdr>
        <w:top w:val="none" w:sz="0" w:space="0" w:color="auto"/>
        <w:left w:val="none" w:sz="0" w:space="0" w:color="auto"/>
        <w:bottom w:val="none" w:sz="0" w:space="0" w:color="auto"/>
        <w:right w:val="none" w:sz="0" w:space="0" w:color="auto"/>
      </w:divBdr>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59787172">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21545937">
      <w:bodyDiv w:val="1"/>
      <w:marLeft w:val="0"/>
      <w:marRight w:val="0"/>
      <w:marTop w:val="0"/>
      <w:marBottom w:val="0"/>
      <w:divBdr>
        <w:top w:val="none" w:sz="0" w:space="0" w:color="auto"/>
        <w:left w:val="none" w:sz="0" w:space="0" w:color="auto"/>
        <w:bottom w:val="none" w:sz="0" w:space="0" w:color="auto"/>
        <w:right w:val="none" w:sz="0" w:space="0" w:color="auto"/>
      </w:divBdr>
      <w:divsChild>
        <w:div w:id="681009521">
          <w:marLeft w:val="2520"/>
          <w:marRight w:val="0"/>
          <w:marTop w:val="77"/>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003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02DBCA59-7581-404D-963A-FD842F1BA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6</Pages>
  <Words>2384</Words>
  <Characters>13591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2</cp:revision>
  <cp:lastPrinted>2009-04-22T13:01:00Z</cp:lastPrinted>
  <dcterms:created xsi:type="dcterms:W3CDTF">2019-02-15T11:46:00Z</dcterms:created>
  <dcterms:modified xsi:type="dcterms:W3CDTF">2019-02-15T11:46:00Z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